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A5024" w14:textId="77777777" w:rsidR="00FE7B27" w:rsidRPr="005C5728" w:rsidRDefault="00223439">
      <w:pPr>
        <w:spacing w:after="0" w:line="240" w:lineRule="auto"/>
        <w:jc w:val="center"/>
        <w:rPr>
          <w:rFonts w:ascii="Tahoma" w:eastAsia="Times New Roman" w:hAnsi="Tahoma" w:cs="Tahoma"/>
          <w:b/>
          <w:color w:val="000000"/>
          <w:sz w:val="24"/>
          <w:szCs w:val="24"/>
          <w:lang w:val="sl-SI"/>
        </w:rPr>
      </w:pPr>
      <w:r w:rsidRPr="005C5728">
        <w:rPr>
          <w:rFonts w:ascii="Tahoma" w:eastAsia="Times New Roman" w:hAnsi="Tahoma" w:cs="Tahoma"/>
          <w:b/>
          <w:color w:val="000000"/>
          <w:sz w:val="24"/>
          <w:szCs w:val="24"/>
          <w:lang w:val="sl-SI"/>
        </w:rPr>
        <w:t xml:space="preserve">PREGLEDNICA </w:t>
      </w:r>
      <w:r w:rsidR="00E5770E" w:rsidRPr="005C5728">
        <w:rPr>
          <w:rFonts w:ascii="Tahoma" w:eastAsia="Times New Roman" w:hAnsi="Tahoma" w:cs="Tahoma"/>
          <w:b/>
          <w:color w:val="000000"/>
          <w:sz w:val="24"/>
          <w:szCs w:val="24"/>
          <w:lang w:val="sl-SI"/>
        </w:rPr>
        <w:t>PR</w:t>
      </w:r>
      <w:r w:rsidR="00FE7B27" w:rsidRPr="005C5728">
        <w:rPr>
          <w:rFonts w:ascii="Tahoma" w:eastAsia="Times New Roman" w:hAnsi="Tahoma" w:cs="Tahoma"/>
          <w:b/>
          <w:color w:val="000000"/>
          <w:sz w:val="24"/>
          <w:szCs w:val="24"/>
          <w:lang w:val="sl-SI"/>
        </w:rPr>
        <w:t>IPOMB IN PREDLOGOV</w:t>
      </w:r>
    </w:p>
    <w:p w14:paraId="1A2893CF" w14:textId="77777777" w:rsidR="00FE7B27" w:rsidRPr="0067244B" w:rsidRDefault="00FE7B27">
      <w:pPr>
        <w:spacing w:after="0" w:line="240" w:lineRule="auto"/>
        <w:jc w:val="center"/>
        <w:rPr>
          <w:rFonts w:ascii="Tahoma" w:eastAsia="Times New Roman" w:hAnsi="Tahoma" w:cs="Tahoma"/>
          <w:b/>
          <w:color w:val="000000"/>
          <w:lang w:val="sl-SI"/>
        </w:rPr>
      </w:pPr>
    </w:p>
    <w:p w14:paraId="270EF007" w14:textId="6A6D7556" w:rsidR="003D7113" w:rsidRPr="00924F21" w:rsidRDefault="00924F21" w:rsidP="003D7113">
      <w:pPr>
        <w:pStyle w:val="Naslov1"/>
        <w:spacing w:before="0" w:beforeAutospacing="0" w:after="0" w:afterAutospacing="0"/>
        <w:jc w:val="center"/>
        <w:rPr>
          <w:rFonts w:ascii="Tahoma" w:eastAsia="Arial" w:hAnsi="Tahoma" w:cs="Tahoma"/>
          <w:color w:val="000000" w:themeColor="text1"/>
          <w:kern w:val="0"/>
          <w:sz w:val="24"/>
          <w:szCs w:val="24"/>
          <w:lang w:bidi="sl-SI"/>
        </w:rPr>
      </w:pPr>
      <w:r>
        <w:rPr>
          <w:rFonts w:ascii="Tahoma" w:hAnsi="Tahoma" w:cs="Tahoma"/>
          <w:kern w:val="0"/>
          <w:sz w:val="24"/>
          <w:szCs w:val="24"/>
        </w:rPr>
        <w:t>P</w:t>
      </w:r>
      <w:r w:rsidRPr="00924F21">
        <w:rPr>
          <w:rFonts w:ascii="Tahoma" w:hAnsi="Tahoma" w:cs="Tahoma"/>
          <w:kern w:val="0"/>
          <w:sz w:val="24"/>
          <w:szCs w:val="24"/>
        </w:rPr>
        <w:t>redlog Zakona o gostinstvu</w:t>
      </w:r>
    </w:p>
    <w:p w14:paraId="74E93544" w14:textId="77777777" w:rsidR="005377E2" w:rsidRPr="0067244B" w:rsidRDefault="005377E2" w:rsidP="003D7113">
      <w:pPr>
        <w:pStyle w:val="Naslov1"/>
        <w:spacing w:before="0" w:beforeAutospacing="0" w:after="0" w:afterAutospacing="0"/>
        <w:jc w:val="center"/>
        <w:rPr>
          <w:rFonts w:ascii="Tahoma" w:hAnsi="Tahoma" w:cs="Tahoma"/>
          <w:sz w:val="24"/>
          <w:szCs w:val="24"/>
        </w:rPr>
      </w:pPr>
    </w:p>
    <w:tbl>
      <w:tblPr>
        <w:tblW w:w="1315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6501"/>
        <w:gridCol w:w="5649"/>
      </w:tblGrid>
      <w:tr w:rsidR="00223439" w:rsidRPr="00E5770E" w14:paraId="1D2A5946" w14:textId="77777777" w:rsidTr="00870EA0">
        <w:trPr>
          <w:trHeight w:val="519"/>
        </w:trPr>
        <w:tc>
          <w:tcPr>
            <w:tcW w:w="1008" w:type="dxa"/>
            <w:shd w:val="clear" w:color="auto" w:fill="8EAADB" w:themeFill="accent1" w:themeFillTint="99"/>
            <w:vAlign w:val="center"/>
          </w:tcPr>
          <w:p w14:paraId="6BAA3898" w14:textId="73736479" w:rsidR="00223439" w:rsidRPr="00E5770E" w:rsidRDefault="00870EA0" w:rsidP="00870EA0">
            <w:pPr>
              <w:spacing w:after="0"/>
              <w:jc w:val="center"/>
              <w:rPr>
                <w:rFonts w:ascii="Tahoma" w:eastAsia="Times New Roman" w:hAnsi="Tahoma" w:cs="Tahoma"/>
                <w:b/>
                <w:color w:val="000000"/>
                <w:sz w:val="20"/>
                <w:szCs w:val="20"/>
                <w:lang w:val="sl-SI"/>
              </w:rPr>
            </w:pPr>
            <w:proofErr w:type="spellStart"/>
            <w:r>
              <w:rPr>
                <w:rFonts w:ascii="Tahoma" w:eastAsia="Times New Roman" w:hAnsi="Tahoma" w:cs="Tahoma"/>
                <w:b/>
                <w:color w:val="000000"/>
                <w:sz w:val="20"/>
                <w:szCs w:val="20"/>
                <w:lang w:val="sl-SI"/>
              </w:rPr>
              <w:t>Zap</w:t>
            </w:r>
            <w:proofErr w:type="spellEnd"/>
            <w:r>
              <w:rPr>
                <w:rFonts w:ascii="Tahoma" w:eastAsia="Times New Roman" w:hAnsi="Tahoma" w:cs="Tahoma"/>
                <w:b/>
                <w:color w:val="000000"/>
                <w:sz w:val="20"/>
                <w:szCs w:val="20"/>
                <w:lang w:val="sl-SI"/>
              </w:rPr>
              <w:t>. št.</w:t>
            </w:r>
          </w:p>
        </w:tc>
        <w:tc>
          <w:tcPr>
            <w:tcW w:w="6501" w:type="dxa"/>
            <w:shd w:val="clear" w:color="auto" w:fill="8EAADB" w:themeFill="accent1" w:themeFillTint="99"/>
            <w:vAlign w:val="center"/>
          </w:tcPr>
          <w:p w14:paraId="7C4A1EF8" w14:textId="42A324AC" w:rsidR="00223439" w:rsidRPr="00E5770E" w:rsidRDefault="00223439" w:rsidP="00870EA0">
            <w:pPr>
              <w:spacing w:after="0"/>
              <w:jc w:val="center"/>
              <w:rPr>
                <w:rFonts w:ascii="Tahoma" w:eastAsia="Times New Roman" w:hAnsi="Tahoma" w:cs="Tahoma"/>
                <w:b/>
                <w:color w:val="000000"/>
                <w:sz w:val="20"/>
                <w:szCs w:val="20"/>
                <w:lang w:val="sl-SI"/>
              </w:rPr>
            </w:pPr>
            <w:r w:rsidRPr="00E5770E">
              <w:rPr>
                <w:rFonts w:ascii="Tahoma" w:eastAsia="Times New Roman" w:hAnsi="Tahoma" w:cs="Tahoma"/>
                <w:b/>
                <w:color w:val="000000"/>
                <w:sz w:val="20"/>
                <w:szCs w:val="20"/>
                <w:lang w:val="sl-SI"/>
              </w:rPr>
              <w:t xml:space="preserve">Predlog spremembe </w:t>
            </w:r>
          </w:p>
        </w:tc>
        <w:tc>
          <w:tcPr>
            <w:tcW w:w="5649" w:type="dxa"/>
            <w:shd w:val="clear" w:color="auto" w:fill="8EAADB" w:themeFill="accent1" w:themeFillTint="99"/>
            <w:vAlign w:val="center"/>
          </w:tcPr>
          <w:p w14:paraId="429304C2" w14:textId="77777777" w:rsidR="00223439" w:rsidRPr="00E5770E" w:rsidRDefault="00223439" w:rsidP="00870EA0">
            <w:pPr>
              <w:spacing w:after="0"/>
              <w:jc w:val="center"/>
              <w:rPr>
                <w:rFonts w:ascii="Tahoma" w:hAnsi="Tahoma" w:cs="Tahoma"/>
              </w:rPr>
            </w:pPr>
            <w:r w:rsidRPr="00E5770E">
              <w:rPr>
                <w:rFonts w:ascii="Tahoma" w:eastAsia="Times New Roman" w:hAnsi="Tahoma" w:cs="Tahoma"/>
                <w:b/>
                <w:color w:val="000000"/>
                <w:sz w:val="20"/>
                <w:szCs w:val="20"/>
                <w:lang w:val="sl-SI"/>
              </w:rPr>
              <w:t>Utemeljitev</w:t>
            </w:r>
          </w:p>
        </w:tc>
      </w:tr>
      <w:tr w:rsidR="00223439" w:rsidRPr="00E5770E" w14:paraId="5D1D549F" w14:textId="77777777" w:rsidTr="00870EA0">
        <w:tc>
          <w:tcPr>
            <w:tcW w:w="1008" w:type="dxa"/>
            <w:shd w:val="clear" w:color="auto" w:fill="auto"/>
          </w:tcPr>
          <w:p w14:paraId="7CAFA140" w14:textId="527012A0" w:rsidR="00223439" w:rsidRPr="00E5770E"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w:t>
            </w:r>
          </w:p>
          <w:p w14:paraId="78CA17BF" w14:textId="77777777" w:rsidR="00223439" w:rsidRPr="00E5770E" w:rsidRDefault="00223439" w:rsidP="00870EA0">
            <w:pPr>
              <w:spacing w:after="0"/>
              <w:rPr>
                <w:rFonts w:ascii="Tahoma" w:eastAsia="Times New Roman" w:hAnsi="Tahoma" w:cs="Tahoma"/>
                <w:color w:val="000000"/>
                <w:sz w:val="20"/>
                <w:szCs w:val="20"/>
                <w:lang w:val="sl-SI"/>
              </w:rPr>
            </w:pPr>
          </w:p>
        </w:tc>
        <w:tc>
          <w:tcPr>
            <w:tcW w:w="6501" w:type="dxa"/>
            <w:shd w:val="clear" w:color="auto" w:fill="auto"/>
          </w:tcPr>
          <w:p w14:paraId="7BFDF232" w14:textId="6B3B709F" w:rsidR="00223439" w:rsidRPr="00E5770E" w:rsidRDefault="0092264A" w:rsidP="0092264A">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Načelna p</w:t>
            </w:r>
            <w:r w:rsidR="00590723">
              <w:rPr>
                <w:rFonts w:ascii="Tahoma" w:eastAsia="Times New Roman" w:hAnsi="Tahoma" w:cs="Tahoma"/>
                <w:color w:val="000000"/>
                <w:sz w:val="20"/>
                <w:szCs w:val="20"/>
                <w:lang w:val="sl-SI"/>
              </w:rPr>
              <w:t>ripomba na ustreznost koncepta predloga zakona glede na namen urejanja trga najemniških stanovanj na račun nastanitvenih kapacitet</w:t>
            </w:r>
          </w:p>
        </w:tc>
        <w:tc>
          <w:tcPr>
            <w:tcW w:w="5649" w:type="dxa"/>
            <w:shd w:val="clear" w:color="auto" w:fill="auto"/>
          </w:tcPr>
          <w:p w14:paraId="58415316" w14:textId="2351170A" w:rsidR="00223439" w:rsidRPr="00E5770E" w:rsidRDefault="00590723"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Trg najemniških stanovanj naj se ureja z ukrepi davčne politike</w:t>
            </w:r>
            <w:r w:rsidR="007F2022">
              <w:rPr>
                <w:rFonts w:ascii="Tahoma" w:eastAsia="Times New Roman" w:hAnsi="Tahoma" w:cs="Tahoma"/>
                <w:color w:val="000000"/>
                <w:sz w:val="20"/>
                <w:szCs w:val="20"/>
                <w:lang w:val="sl-SI"/>
              </w:rPr>
              <w:t>. Poznamo načine kako se lahko z različnimi stopnjami obdavčitve za prvo, drugo,  tretjo… deseto in več nepremičninami  spodbuja npr. oddajanje stanovanja kot najemniško stanovanje . Npr. oddaja stanovanja kot najemniško stanovanje bi lahko bilo neobdavčeno oz. minimalno obdavčeno, kar bi zagotovo imelo večji učinek kot je namen  predmetnega  predloga zakona.</w:t>
            </w:r>
          </w:p>
        </w:tc>
      </w:tr>
      <w:tr w:rsidR="00223439" w:rsidRPr="00E5770E" w14:paraId="4D39B077" w14:textId="77777777" w:rsidTr="00870EA0">
        <w:tc>
          <w:tcPr>
            <w:tcW w:w="1008" w:type="dxa"/>
            <w:shd w:val="clear" w:color="auto" w:fill="auto"/>
          </w:tcPr>
          <w:p w14:paraId="49444B9A" w14:textId="77777777" w:rsidR="00223439" w:rsidRPr="00E5770E" w:rsidRDefault="00223439" w:rsidP="00870EA0">
            <w:pPr>
              <w:snapToGrid w:val="0"/>
              <w:spacing w:after="0"/>
              <w:rPr>
                <w:rFonts w:ascii="Tahoma" w:eastAsia="Times New Roman" w:hAnsi="Tahoma" w:cs="Tahoma"/>
                <w:color w:val="000000"/>
                <w:sz w:val="20"/>
                <w:szCs w:val="20"/>
                <w:lang w:val="sl-SI"/>
              </w:rPr>
            </w:pPr>
          </w:p>
          <w:p w14:paraId="5C1525BD" w14:textId="57C19525" w:rsidR="00223439" w:rsidRPr="00E5770E" w:rsidRDefault="00870EA0" w:rsidP="00870EA0">
            <w:pPr>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2.</w:t>
            </w:r>
          </w:p>
        </w:tc>
        <w:tc>
          <w:tcPr>
            <w:tcW w:w="6501" w:type="dxa"/>
            <w:shd w:val="clear" w:color="auto" w:fill="auto"/>
          </w:tcPr>
          <w:p w14:paraId="3255B8D9" w14:textId="197EA26A" w:rsidR="00223439" w:rsidRPr="00E5770E" w:rsidRDefault="00590723"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Soglašamo, da je problem v svetovnih metropolah in zagotovo tudi v Ljubljani , se pa postavlja vprašanje ali je prav, da se piše zakon izhajajoč iz razmer v metropoli</w:t>
            </w:r>
            <w:r w:rsidR="0092264A">
              <w:rPr>
                <w:rFonts w:ascii="Tahoma" w:eastAsia="Times New Roman" w:hAnsi="Tahoma" w:cs="Tahoma"/>
                <w:color w:val="000000"/>
                <w:sz w:val="20"/>
                <w:szCs w:val="20"/>
                <w:lang w:val="sl-SI"/>
              </w:rPr>
              <w:t>,</w:t>
            </w:r>
            <w:r w:rsidR="007F2022">
              <w:rPr>
                <w:rFonts w:ascii="Tahoma" w:eastAsia="Times New Roman" w:hAnsi="Tahoma" w:cs="Tahoma"/>
                <w:color w:val="000000"/>
                <w:sz w:val="20"/>
                <w:szCs w:val="20"/>
                <w:lang w:val="sl-SI"/>
              </w:rPr>
              <w:t xml:space="preserve"> predvsem pa je vprašanje</w:t>
            </w:r>
            <w:r w:rsidR="0092264A">
              <w:rPr>
                <w:rFonts w:ascii="Tahoma" w:eastAsia="Times New Roman" w:hAnsi="Tahoma" w:cs="Tahoma"/>
                <w:color w:val="000000"/>
                <w:sz w:val="20"/>
                <w:szCs w:val="20"/>
                <w:lang w:val="sl-SI"/>
              </w:rPr>
              <w:t xml:space="preserve"> ali bi se lahko ta problematika rešila na drug način</w:t>
            </w:r>
          </w:p>
        </w:tc>
        <w:tc>
          <w:tcPr>
            <w:tcW w:w="5649" w:type="dxa"/>
            <w:shd w:val="clear" w:color="auto" w:fill="auto"/>
          </w:tcPr>
          <w:p w14:paraId="1DA139F8" w14:textId="68D493B9" w:rsidR="00223439" w:rsidRPr="00E5770E" w:rsidRDefault="00590723"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Kot primer ''destinacija Slovenska Istra'' oz. konkretno Občina Piran ima delež nočitev apartmajskih nastanitev 23 % in ti predstavljajo dodatno ponudbo v nastanitvi destinacije, ki si jo nekateri gostje tudi želijo</w:t>
            </w:r>
          </w:p>
        </w:tc>
      </w:tr>
      <w:tr w:rsidR="00223439" w:rsidRPr="00E5770E" w14:paraId="2BEA25D7" w14:textId="77777777" w:rsidTr="00870EA0">
        <w:tc>
          <w:tcPr>
            <w:tcW w:w="1008" w:type="dxa"/>
            <w:shd w:val="clear" w:color="auto" w:fill="auto"/>
          </w:tcPr>
          <w:p w14:paraId="3933A91C" w14:textId="77777777" w:rsidR="00223439" w:rsidRPr="00E5770E" w:rsidRDefault="00223439" w:rsidP="00870EA0">
            <w:pPr>
              <w:snapToGrid w:val="0"/>
              <w:spacing w:after="0"/>
              <w:rPr>
                <w:rFonts w:ascii="Tahoma" w:eastAsia="Times New Roman" w:hAnsi="Tahoma" w:cs="Tahoma"/>
                <w:color w:val="000000"/>
                <w:sz w:val="20"/>
                <w:szCs w:val="20"/>
                <w:lang w:val="sl-SI"/>
              </w:rPr>
            </w:pPr>
          </w:p>
          <w:p w14:paraId="0DEB75E2" w14:textId="05D3608B" w:rsidR="00223439" w:rsidRPr="00E5770E" w:rsidRDefault="00870EA0" w:rsidP="00870EA0">
            <w:pPr>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3.</w:t>
            </w:r>
          </w:p>
        </w:tc>
        <w:tc>
          <w:tcPr>
            <w:tcW w:w="6501" w:type="dxa"/>
            <w:shd w:val="clear" w:color="auto" w:fill="auto"/>
          </w:tcPr>
          <w:p w14:paraId="1D16295C" w14:textId="546C1837" w:rsidR="00223439" w:rsidRPr="00E5770E" w:rsidRDefault="00590723"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Drži, da predlog zakona omogoča, da zapisano omejitev (30 dni) lahko občine omilijo</w:t>
            </w:r>
            <w:r w:rsidR="00E83ADB">
              <w:rPr>
                <w:rFonts w:ascii="Tahoma" w:eastAsia="Times New Roman" w:hAnsi="Tahoma" w:cs="Tahoma"/>
                <w:color w:val="000000"/>
                <w:sz w:val="20"/>
                <w:szCs w:val="20"/>
                <w:lang w:val="sl-SI"/>
              </w:rPr>
              <w:t xml:space="preserve"> (</w:t>
            </w:r>
            <w:r w:rsidR="00BC1C6C">
              <w:rPr>
                <w:rFonts w:ascii="Tahoma" w:eastAsia="Times New Roman" w:hAnsi="Tahoma" w:cs="Tahoma"/>
                <w:color w:val="000000"/>
                <w:sz w:val="20"/>
                <w:szCs w:val="20"/>
                <w:lang w:val="sl-SI"/>
              </w:rPr>
              <w:t>izničijo</w:t>
            </w:r>
            <w:r w:rsidR="00E83ADB">
              <w:rPr>
                <w:rFonts w:ascii="Tahoma" w:eastAsia="Times New Roman" w:hAnsi="Tahoma" w:cs="Tahoma"/>
                <w:color w:val="000000"/>
                <w:sz w:val="20"/>
                <w:szCs w:val="20"/>
                <w:lang w:val="sl-SI"/>
              </w:rPr>
              <w:t xml:space="preserve">), toda tako kot je zakon zapisan le- ta predstavlja dodatno </w:t>
            </w:r>
            <w:r w:rsidR="007F2022">
              <w:rPr>
                <w:rFonts w:ascii="Tahoma" w:eastAsia="Times New Roman" w:hAnsi="Tahoma" w:cs="Tahoma"/>
                <w:color w:val="000000"/>
                <w:sz w:val="20"/>
                <w:szCs w:val="20"/>
                <w:lang w:val="sl-SI"/>
              </w:rPr>
              <w:t xml:space="preserve">nepotrebno </w:t>
            </w:r>
            <w:r w:rsidR="00E83ADB">
              <w:rPr>
                <w:rFonts w:ascii="Tahoma" w:eastAsia="Times New Roman" w:hAnsi="Tahoma" w:cs="Tahoma"/>
                <w:color w:val="000000"/>
                <w:sz w:val="20"/>
                <w:szCs w:val="20"/>
                <w:lang w:val="sl-SI"/>
              </w:rPr>
              <w:t>administracijo z izdajo opredeljenih soglasij</w:t>
            </w:r>
          </w:p>
        </w:tc>
        <w:tc>
          <w:tcPr>
            <w:tcW w:w="5649" w:type="dxa"/>
            <w:shd w:val="clear" w:color="auto" w:fill="auto"/>
          </w:tcPr>
          <w:p w14:paraId="763D621F" w14:textId="7E52790B" w:rsidR="00223439" w:rsidRPr="00E5770E" w:rsidRDefault="00E83ADB"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Opredeljeni postopki predstavljajo, glede na število obstoječih nastanitvenih obratov v letu, zagotovo zaposlitev 1 osebe (v prvem letu izdaje soglasij</w:t>
            </w:r>
            <w:r w:rsidR="00A137CA">
              <w:rPr>
                <w:rFonts w:ascii="Tahoma" w:eastAsia="Times New Roman" w:hAnsi="Tahoma" w:cs="Tahoma"/>
                <w:color w:val="000000"/>
                <w:sz w:val="20"/>
                <w:szCs w:val="20"/>
                <w:lang w:val="sl-SI"/>
              </w:rPr>
              <w:t xml:space="preserve"> zagotovo</w:t>
            </w:r>
            <w:r>
              <w:rPr>
                <w:rFonts w:ascii="Tahoma" w:eastAsia="Times New Roman" w:hAnsi="Tahoma" w:cs="Tahoma"/>
                <w:color w:val="000000"/>
                <w:sz w:val="20"/>
                <w:szCs w:val="20"/>
                <w:lang w:val="sl-SI"/>
              </w:rPr>
              <w:t>)</w:t>
            </w:r>
          </w:p>
        </w:tc>
      </w:tr>
      <w:tr w:rsidR="00223439" w:rsidRPr="00E5770E" w14:paraId="33B98F8A" w14:textId="77777777" w:rsidTr="00870EA0">
        <w:tc>
          <w:tcPr>
            <w:tcW w:w="1008" w:type="dxa"/>
            <w:shd w:val="clear" w:color="auto" w:fill="auto"/>
          </w:tcPr>
          <w:p w14:paraId="13CE9F2D" w14:textId="77777777" w:rsidR="00870EA0" w:rsidRDefault="00870EA0" w:rsidP="00870EA0">
            <w:pPr>
              <w:snapToGrid w:val="0"/>
              <w:spacing w:after="0"/>
              <w:rPr>
                <w:rFonts w:ascii="Tahoma" w:eastAsia="Times New Roman" w:hAnsi="Tahoma" w:cs="Tahoma"/>
                <w:color w:val="000000"/>
                <w:sz w:val="20"/>
                <w:szCs w:val="20"/>
                <w:lang w:val="sl-SI"/>
              </w:rPr>
            </w:pPr>
          </w:p>
          <w:p w14:paraId="1C55A593" w14:textId="78BD49BA" w:rsidR="00223439" w:rsidRPr="00E5770E"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4.</w:t>
            </w:r>
          </w:p>
        </w:tc>
        <w:tc>
          <w:tcPr>
            <w:tcW w:w="6501" w:type="dxa"/>
            <w:shd w:val="clear" w:color="auto" w:fill="auto"/>
          </w:tcPr>
          <w:p w14:paraId="1CBDB579" w14:textId="5222E795" w:rsidR="00223439" w:rsidRPr="00E5770E" w:rsidRDefault="00E83ADB"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Soglaša se z dejstvom, da obstajajo problemi pri nastanitvenih obratih, ki se nahajajo v večstanovanjskih objektih, vendar je očitno, da že sedaj ne obstaja nadzor nad tem (ali kdo preverja izdana soglasja etažnih lastnikov kot pogoj za nudenje nastanitvenih kapacitet)</w:t>
            </w:r>
          </w:p>
        </w:tc>
        <w:tc>
          <w:tcPr>
            <w:tcW w:w="5649" w:type="dxa"/>
            <w:shd w:val="clear" w:color="auto" w:fill="auto"/>
          </w:tcPr>
          <w:p w14:paraId="34E797DB" w14:textId="6A5CA68E" w:rsidR="00223439" w:rsidRPr="00E5770E" w:rsidRDefault="00E83ADB"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Ključni problem je v neizvajanju nadzora in kontrole predpisanih pogojev. </w:t>
            </w:r>
            <w:r w:rsidR="00A137CA">
              <w:rPr>
                <w:rFonts w:ascii="Tahoma" w:eastAsia="Times New Roman" w:hAnsi="Tahoma" w:cs="Tahoma"/>
                <w:color w:val="000000"/>
                <w:sz w:val="20"/>
                <w:szCs w:val="20"/>
                <w:lang w:val="sl-SI"/>
              </w:rPr>
              <w:t>Z učinkovitim nadzorom bi se ta problematika rešila brez tega zakona.</w:t>
            </w:r>
          </w:p>
        </w:tc>
      </w:tr>
      <w:tr w:rsidR="00223439" w:rsidRPr="00E5770E" w14:paraId="2D2695EA" w14:textId="77777777" w:rsidTr="00870EA0">
        <w:tc>
          <w:tcPr>
            <w:tcW w:w="1008" w:type="dxa"/>
            <w:shd w:val="clear" w:color="auto" w:fill="auto"/>
          </w:tcPr>
          <w:p w14:paraId="098D351E" w14:textId="77777777" w:rsidR="00870EA0" w:rsidRDefault="00870EA0" w:rsidP="00870EA0">
            <w:pPr>
              <w:snapToGrid w:val="0"/>
              <w:spacing w:after="0"/>
              <w:rPr>
                <w:rFonts w:ascii="Tahoma" w:eastAsia="Times New Roman" w:hAnsi="Tahoma" w:cs="Tahoma"/>
                <w:color w:val="000000"/>
                <w:sz w:val="20"/>
                <w:szCs w:val="20"/>
                <w:lang w:val="sl-SI"/>
              </w:rPr>
            </w:pPr>
          </w:p>
          <w:p w14:paraId="3C60D79F" w14:textId="093B642B" w:rsidR="00223439" w:rsidRPr="00E5770E"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5. </w:t>
            </w:r>
          </w:p>
        </w:tc>
        <w:tc>
          <w:tcPr>
            <w:tcW w:w="6501" w:type="dxa"/>
            <w:shd w:val="clear" w:color="auto" w:fill="auto"/>
          </w:tcPr>
          <w:p w14:paraId="6A3CC467" w14:textId="59699D03" w:rsidR="00223439" w:rsidRPr="00E5770E" w:rsidRDefault="00E83ADB"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Podpira se sprememba v po</w:t>
            </w:r>
            <w:r w:rsidR="0092264A">
              <w:rPr>
                <w:rFonts w:ascii="Tahoma" w:eastAsia="Times New Roman" w:hAnsi="Tahoma" w:cs="Tahoma"/>
                <w:color w:val="000000"/>
                <w:sz w:val="20"/>
                <w:szCs w:val="20"/>
                <w:lang w:val="sl-SI"/>
              </w:rPr>
              <w:t>stopkih kategorizacije v smeri doseganja višjega standarda nastanitvenih kapacitet</w:t>
            </w:r>
          </w:p>
        </w:tc>
        <w:tc>
          <w:tcPr>
            <w:tcW w:w="5649" w:type="dxa"/>
            <w:shd w:val="clear" w:color="auto" w:fill="auto"/>
          </w:tcPr>
          <w:p w14:paraId="384794DC" w14:textId="264FC931" w:rsidR="00223439" w:rsidRPr="00E5770E" w:rsidRDefault="00A137CA" w:rsidP="00A137CA">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Stališče je , da  samoocenjevanje ne zagotavlja  ustreznega standarda in lahko ta pristop škodi destinaciji.</w:t>
            </w:r>
          </w:p>
        </w:tc>
      </w:tr>
      <w:tr w:rsidR="00223439" w:rsidRPr="00E5770E" w14:paraId="5E66546B" w14:textId="77777777" w:rsidTr="00870EA0">
        <w:tc>
          <w:tcPr>
            <w:tcW w:w="1008" w:type="dxa"/>
            <w:shd w:val="clear" w:color="auto" w:fill="auto"/>
          </w:tcPr>
          <w:p w14:paraId="3C51EB41" w14:textId="77777777" w:rsidR="00223439" w:rsidRPr="00E5770E" w:rsidRDefault="00223439" w:rsidP="00870EA0">
            <w:pPr>
              <w:snapToGrid w:val="0"/>
              <w:spacing w:after="0"/>
              <w:rPr>
                <w:rFonts w:ascii="Tahoma" w:eastAsia="Times New Roman" w:hAnsi="Tahoma" w:cs="Tahoma"/>
                <w:color w:val="000000"/>
                <w:sz w:val="20"/>
                <w:szCs w:val="20"/>
                <w:lang w:val="sl-SI"/>
              </w:rPr>
            </w:pPr>
          </w:p>
          <w:p w14:paraId="2DBAEDC3" w14:textId="74499C89" w:rsidR="00223439" w:rsidRPr="00E5770E" w:rsidRDefault="00870EA0" w:rsidP="00870EA0">
            <w:pPr>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6. </w:t>
            </w:r>
          </w:p>
        </w:tc>
        <w:tc>
          <w:tcPr>
            <w:tcW w:w="6501" w:type="dxa"/>
            <w:shd w:val="clear" w:color="auto" w:fill="auto"/>
          </w:tcPr>
          <w:p w14:paraId="774020D0" w14:textId="6D154972" w:rsidR="00223439" w:rsidRPr="00E5770E" w:rsidRDefault="0092264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Postavlja se vprašanje ali lahko tovrstni zakoni omejujejo zasebno iniciativo</w:t>
            </w:r>
          </w:p>
        </w:tc>
        <w:tc>
          <w:tcPr>
            <w:tcW w:w="5649" w:type="dxa"/>
            <w:shd w:val="clear" w:color="auto" w:fill="auto"/>
          </w:tcPr>
          <w:p w14:paraId="4F49A592" w14:textId="77777777" w:rsidR="00223439" w:rsidRDefault="0092264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Glede na dejstvo, da je mnogo ponudnikov v preteklih obdobjih imelo vlaganja v svoje kapacitete , ki so odraz diverzifikacije ponudbe nastanitvenih kapacitet v destinaciji, kar je destinacija podpirala z različnimi ukrepi, se postavlja vprašanje ali je sprejemljivo vse to z zakonom in občinskim odlokom odpraviti brez posledic.</w:t>
            </w:r>
          </w:p>
          <w:p w14:paraId="7237B6A2" w14:textId="7FB90E00" w:rsidR="0092264A" w:rsidRPr="00E5770E" w:rsidRDefault="0092264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Posledica takega ukrepa bo lahko tudi ta, da bodo ta stanovanja prazna oz. se bo izvajala dejavnost ''na črno''</w:t>
            </w:r>
          </w:p>
        </w:tc>
      </w:tr>
      <w:tr w:rsidR="00223439" w:rsidRPr="00E5770E" w14:paraId="6FD49D1A" w14:textId="77777777" w:rsidTr="00870EA0">
        <w:tc>
          <w:tcPr>
            <w:tcW w:w="1008" w:type="dxa"/>
            <w:shd w:val="clear" w:color="auto" w:fill="auto"/>
          </w:tcPr>
          <w:p w14:paraId="16C1788C" w14:textId="77777777" w:rsidR="00223439" w:rsidRPr="00E5770E" w:rsidRDefault="00223439" w:rsidP="00870EA0">
            <w:pPr>
              <w:snapToGrid w:val="0"/>
              <w:spacing w:after="0"/>
              <w:rPr>
                <w:rFonts w:ascii="Tahoma" w:eastAsia="Times New Roman" w:hAnsi="Tahoma" w:cs="Tahoma"/>
                <w:color w:val="000000"/>
                <w:sz w:val="20"/>
                <w:szCs w:val="20"/>
                <w:lang w:val="sl-SI"/>
              </w:rPr>
            </w:pPr>
          </w:p>
          <w:p w14:paraId="173A4703" w14:textId="513133F2" w:rsidR="00223439" w:rsidRPr="00E5770E" w:rsidRDefault="00870EA0" w:rsidP="00870EA0">
            <w:pPr>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7. </w:t>
            </w:r>
          </w:p>
        </w:tc>
        <w:tc>
          <w:tcPr>
            <w:tcW w:w="6501" w:type="dxa"/>
            <w:shd w:val="clear" w:color="auto" w:fill="auto"/>
          </w:tcPr>
          <w:p w14:paraId="31C301C0" w14:textId="482C64F6" w:rsidR="00223439" w:rsidRPr="00E5770E" w:rsidRDefault="0092264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Nesprejemljivo je, da zakon sili v spremembo namembnosti npr. dela stanovanjskega objekta v drug namen</w:t>
            </w:r>
          </w:p>
        </w:tc>
        <w:tc>
          <w:tcPr>
            <w:tcW w:w="5649" w:type="dxa"/>
            <w:shd w:val="clear" w:color="auto" w:fill="auto"/>
          </w:tcPr>
          <w:p w14:paraId="2126FD6A" w14:textId="64CC3804" w:rsidR="00223439" w:rsidRPr="00E5770E" w:rsidRDefault="0092264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Zagotovo bi tak ukrep predstavljal številne postopke, ki bodo lahko zamudni, lahko tudi neizvedljivi…</w:t>
            </w:r>
            <w:r w:rsidR="00A137CA">
              <w:rPr>
                <w:rFonts w:ascii="Tahoma" w:eastAsia="Times New Roman" w:hAnsi="Tahoma" w:cs="Tahoma"/>
                <w:color w:val="000000"/>
                <w:sz w:val="20"/>
                <w:szCs w:val="20"/>
                <w:lang w:val="sl-SI"/>
              </w:rPr>
              <w:t>, zagotovo pa povečal administracijo tudi na tem področju</w:t>
            </w:r>
          </w:p>
        </w:tc>
      </w:tr>
      <w:tr w:rsidR="00223439" w:rsidRPr="00E5770E" w14:paraId="6E33A4B0" w14:textId="77777777" w:rsidTr="00870EA0">
        <w:tc>
          <w:tcPr>
            <w:tcW w:w="1008" w:type="dxa"/>
            <w:shd w:val="clear" w:color="auto" w:fill="auto"/>
          </w:tcPr>
          <w:p w14:paraId="7C7A0B71" w14:textId="77777777" w:rsidR="00870EA0" w:rsidRDefault="00870EA0" w:rsidP="00870EA0">
            <w:pPr>
              <w:snapToGrid w:val="0"/>
              <w:spacing w:after="0"/>
              <w:rPr>
                <w:rFonts w:ascii="Tahoma" w:eastAsia="Times New Roman" w:hAnsi="Tahoma" w:cs="Tahoma"/>
                <w:color w:val="000000"/>
                <w:sz w:val="20"/>
                <w:szCs w:val="20"/>
                <w:lang w:val="sl-SI"/>
              </w:rPr>
            </w:pPr>
          </w:p>
          <w:p w14:paraId="5A0294C7" w14:textId="7115E350" w:rsidR="00223439" w:rsidRPr="00E5770E"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8. </w:t>
            </w:r>
          </w:p>
        </w:tc>
        <w:tc>
          <w:tcPr>
            <w:tcW w:w="6501" w:type="dxa"/>
            <w:shd w:val="clear" w:color="auto" w:fill="auto"/>
          </w:tcPr>
          <w:p w14:paraId="30128809" w14:textId="4542927F" w:rsidR="00223439" w:rsidRPr="00E5770E" w:rsidRDefault="00A137CA"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Predvideva se, da bodo občine s pomembnim deležem v turističnih nočitvah</w:t>
            </w:r>
            <w:r w:rsidR="007F2022">
              <w:rPr>
                <w:rFonts w:ascii="Tahoma" w:eastAsia="Times New Roman" w:hAnsi="Tahoma" w:cs="Tahoma"/>
                <w:color w:val="000000"/>
                <w:sz w:val="20"/>
                <w:szCs w:val="20"/>
                <w:lang w:val="sl-SI"/>
              </w:rPr>
              <w:t xml:space="preserve"> v državi</w:t>
            </w:r>
            <w:r>
              <w:rPr>
                <w:rFonts w:ascii="Tahoma" w:eastAsia="Times New Roman" w:hAnsi="Tahoma" w:cs="Tahoma"/>
                <w:color w:val="000000"/>
                <w:sz w:val="20"/>
                <w:szCs w:val="20"/>
                <w:lang w:val="sl-SI"/>
              </w:rPr>
              <w:t xml:space="preserve"> izrabile zakonsko možnost omilitve zakonsko opredeljene omejitve (30 ali morda tudi 60 dni), zato se postavlja vprašanje zakaj sprejeti zakon, ki v končni obliki izvedbe (z občinskimi odloki) negira eno izmed </w:t>
            </w:r>
            <w:r w:rsidR="00F402F0">
              <w:rPr>
                <w:rFonts w:ascii="Tahoma" w:eastAsia="Times New Roman" w:hAnsi="Tahoma" w:cs="Tahoma"/>
                <w:color w:val="000000"/>
                <w:sz w:val="20"/>
                <w:szCs w:val="20"/>
                <w:lang w:val="sl-SI"/>
              </w:rPr>
              <w:t>ključnih opredelitev v omejitvi kratkotrajne namestitve</w:t>
            </w:r>
          </w:p>
        </w:tc>
        <w:tc>
          <w:tcPr>
            <w:tcW w:w="5649" w:type="dxa"/>
            <w:shd w:val="clear" w:color="auto" w:fill="auto"/>
          </w:tcPr>
          <w:p w14:paraId="51F990C5" w14:textId="0C69B31E" w:rsidR="00223439" w:rsidRPr="00E5770E" w:rsidRDefault="00F402F0" w:rsidP="007F2022">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Postavlja se vprašanje </w:t>
            </w:r>
            <w:r w:rsidR="007F2022">
              <w:rPr>
                <w:rFonts w:ascii="Tahoma" w:eastAsia="Times New Roman" w:hAnsi="Tahoma" w:cs="Tahoma"/>
                <w:color w:val="000000"/>
                <w:sz w:val="20"/>
                <w:szCs w:val="20"/>
                <w:lang w:val="sl-SI"/>
              </w:rPr>
              <w:t>smiselnosti sprejetja</w:t>
            </w:r>
            <w:r>
              <w:rPr>
                <w:rFonts w:ascii="Tahoma" w:eastAsia="Times New Roman" w:hAnsi="Tahoma" w:cs="Tahoma"/>
                <w:color w:val="000000"/>
                <w:sz w:val="20"/>
                <w:szCs w:val="20"/>
                <w:lang w:val="sl-SI"/>
              </w:rPr>
              <w:t xml:space="preserve"> zakon</w:t>
            </w:r>
            <w:r w:rsidR="007F2022">
              <w:rPr>
                <w:rFonts w:ascii="Tahoma" w:eastAsia="Times New Roman" w:hAnsi="Tahoma" w:cs="Tahoma"/>
                <w:color w:val="000000"/>
                <w:sz w:val="20"/>
                <w:szCs w:val="20"/>
                <w:lang w:val="sl-SI"/>
              </w:rPr>
              <w:t>a</w:t>
            </w:r>
            <w:r>
              <w:rPr>
                <w:rFonts w:ascii="Tahoma" w:eastAsia="Times New Roman" w:hAnsi="Tahoma" w:cs="Tahoma"/>
                <w:color w:val="000000"/>
                <w:sz w:val="20"/>
                <w:szCs w:val="20"/>
                <w:lang w:val="sl-SI"/>
              </w:rPr>
              <w:t xml:space="preserve"> z omejitvijo, ki bo veljala morda le v 1 primeru z akutnim problemom in za druge sredine, kjer ni povpraševanja po </w:t>
            </w:r>
            <w:r w:rsidR="00BC1C6C">
              <w:rPr>
                <w:rFonts w:ascii="Tahoma" w:eastAsia="Times New Roman" w:hAnsi="Tahoma" w:cs="Tahoma"/>
                <w:color w:val="000000"/>
                <w:sz w:val="20"/>
                <w:szCs w:val="20"/>
                <w:lang w:val="sl-SI"/>
              </w:rPr>
              <w:t>tovrstnih</w:t>
            </w:r>
            <w:r>
              <w:rPr>
                <w:rFonts w:ascii="Tahoma" w:eastAsia="Times New Roman" w:hAnsi="Tahoma" w:cs="Tahoma"/>
                <w:color w:val="000000"/>
                <w:sz w:val="20"/>
                <w:szCs w:val="20"/>
                <w:lang w:val="sl-SI"/>
              </w:rPr>
              <w:t xml:space="preserve"> nastanitvenih kapacitetah</w:t>
            </w:r>
          </w:p>
        </w:tc>
      </w:tr>
      <w:tr w:rsidR="00396A5C" w:rsidRPr="00E5770E" w14:paraId="292264F9" w14:textId="77777777" w:rsidTr="00870EA0">
        <w:tc>
          <w:tcPr>
            <w:tcW w:w="1008" w:type="dxa"/>
            <w:shd w:val="clear" w:color="auto" w:fill="auto"/>
          </w:tcPr>
          <w:p w14:paraId="643C261A" w14:textId="27885ADB" w:rsidR="00396A5C" w:rsidRDefault="00396A5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9</w:t>
            </w:r>
          </w:p>
        </w:tc>
        <w:tc>
          <w:tcPr>
            <w:tcW w:w="6501" w:type="dxa"/>
            <w:shd w:val="clear" w:color="auto" w:fill="auto"/>
          </w:tcPr>
          <w:p w14:paraId="728E9513" w14:textId="51ED29AE" w:rsidR="00396A5C" w:rsidRDefault="00396A5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Razmisliti je treba o določitvi pogoja, da se pri oddajanju objekta  kot NO, opredeli da ima na istem naslovu lastnik tudi stalno prebivališče in da tam tudi živi</w:t>
            </w:r>
          </w:p>
        </w:tc>
        <w:tc>
          <w:tcPr>
            <w:tcW w:w="5649" w:type="dxa"/>
            <w:shd w:val="clear" w:color="auto" w:fill="auto"/>
          </w:tcPr>
          <w:p w14:paraId="62F9EDBD" w14:textId="6FC8C866" w:rsidR="00396A5C" w:rsidRDefault="00396A5C" w:rsidP="007F2022">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Ta predlog izhaja iz dejstva, ker so nekatera stanovanjska območja v posamičnih destinacijah taka, da je večina objektov  kot kapitalskih naložb in niso v funkciji bivanja in s tem vpliva na način življenja v taki sredini.</w:t>
            </w:r>
          </w:p>
        </w:tc>
      </w:tr>
      <w:tr w:rsidR="00223439" w:rsidRPr="00E5770E" w14:paraId="0AE2A8F2" w14:textId="77777777" w:rsidTr="00870EA0">
        <w:tc>
          <w:tcPr>
            <w:tcW w:w="1008" w:type="dxa"/>
            <w:shd w:val="clear" w:color="auto" w:fill="auto"/>
          </w:tcPr>
          <w:p w14:paraId="7092BEED" w14:textId="77777777" w:rsidR="00870EA0" w:rsidRDefault="00870EA0" w:rsidP="00870EA0">
            <w:pPr>
              <w:snapToGrid w:val="0"/>
              <w:spacing w:after="0"/>
              <w:rPr>
                <w:rFonts w:ascii="Tahoma" w:eastAsia="Times New Roman" w:hAnsi="Tahoma" w:cs="Tahoma"/>
                <w:color w:val="000000"/>
                <w:sz w:val="20"/>
                <w:szCs w:val="20"/>
                <w:lang w:val="sl-SI"/>
              </w:rPr>
            </w:pPr>
          </w:p>
          <w:p w14:paraId="522BE73D" w14:textId="48B38C2C" w:rsidR="00223439" w:rsidRPr="00E5770E"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 xml:space="preserve">9. </w:t>
            </w:r>
          </w:p>
        </w:tc>
        <w:tc>
          <w:tcPr>
            <w:tcW w:w="6501" w:type="dxa"/>
            <w:shd w:val="clear" w:color="auto" w:fill="auto"/>
          </w:tcPr>
          <w:p w14:paraId="68D5A3ED" w14:textId="77777777" w:rsidR="004F48AB" w:rsidRDefault="004F48AB" w:rsidP="004F48AB">
            <w:pPr>
              <w:pStyle w:val="Odstavekseznama"/>
              <w:numPr>
                <w:ilvl w:val="0"/>
                <w:numId w:val="2"/>
              </w:numPr>
              <w:rPr>
                <w:rFonts w:ascii="Cambria" w:hAnsi="Cambria"/>
              </w:rPr>
            </w:pPr>
            <w:r>
              <w:rPr>
                <w:rFonts w:ascii="Cambria" w:hAnsi="Cambria"/>
              </w:rPr>
              <w:t>Obratovalni čas (8., 10. in 29. člen)</w:t>
            </w:r>
          </w:p>
          <w:p w14:paraId="0E0BD282" w14:textId="77777777" w:rsidR="004F48AB" w:rsidRDefault="004F48AB" w:rsidP="004F48AB">
            <w:pPr>
              <w:ind w:left="720"/>
              <w:rPr>
                <w:rFonts w:ascii="Cambria" w:hAnsi="Cambria"/>
              </w:rPr>
            </w:pPr>
            <w:proofErr w:type="spellStart"/>
            <w:r>
              <w:rPr>
                <w:rFonts w:ascii="Cambria" w:hAnsi="Cambria"/>
              </w:rPr>
              <w:t>Predlagamo</w:t>
            </w:r>
            <w:proofErr w:type="spellEnd"/>
            <w:r>
              <w:rPr>
                <w:rFonts w:ascii="Cambria" w:hAnsi="Cambria"/>
              </w:rPr>
              <w:t xml:space="preserve">, da se za </w:t>
            </w:r>
            <w:proofErr w:type="spellStart"/>
            <w:r>
              <w:rPr>
                <w:rFonts w:ascii="Cambria" w:hAnsi="Cambria"/>
              </w:rPr>
              <w:t>nadzor</w:t>
            </w:r>
            <w:proofErr w:type="spellEnd"/>
            <w:r>
              <w:rPr>
                <w:rFonts w:ascii="Cambria" w:hAnsi="Cambria"/>
              </w:rPr>
              <w:t xml:space="preserve"> </w:t>
            </w:r>
            <w:proofErr w:type="spellStart"/>
            <w:r>
              <w:rPr>
                <w:rFonts w:ascii="Cambria" w:hAnsi="Cambria"/>
              </w:rPr>
              <w:t>obratovalnega</w:t>
            </w:r>
            <w:proofErr w:type="spellEnd"/>
            <w:r>
              <w:rPr>
                <w:rFonts w:ascii="Cambria" w:hAnsi="Cambria"/>
              </w:rPr>
              <w:t xml:space="preserve"> </w:t>
            </w:r>
            <w:proofErr w:type="spellStart"/>
            <w:r>
              <w:rPr>
                <w:rFonts w:ascii="Cambria" w:hAnsi="Cambria"/>
              </w:rPr>
              <w:t>časa</w:t>
            </w:r>
            <w:proofErr w:type="spellEnd"/>
            <w:r>
              <w:rPr>
                <w:rFonts w:ascii="Cambria" w:hAnsi="Cambria"/>
              </w:rPr>
              <w:t xml:space="preserve"> </w:t>
            </w:r>
            <w:proofErr w:type="spellStart"/>
            <w:r>
              <w:rPr>
                <w:rFonts w:ascii="Cambria" w:hAnsi="Cambria"/>
              </w:rPr>
              <w:t>izvzamejo</w:t>
            </w:r>
            <w:proofErr w:type="spellEnd"/>
            <w:r>
              <w:rPr>
                <w:rFonts w:ascii="Cambria" w:hAnsi="Cambria"/>
              </w:rPr>
              <w:t xml:space="preserve"> </w:t>
            </w:r>
            <w:proofErr w:type="spellStart"/>
            <w:r>
              <w:rPr>
                <w:rFonts w:ascii="Cambria" w:hAnsi="Cambria"/>
              </w:rPr>
              <w:t>občinske</w:t>
            </w:r>
            <w:proofErr w:type="spellEnd"/>
            <w:r>
              <w:rPr>
                <w:rFonts w:ascii="Cambria" w:hAnsi="Cambria"/>
              </w:rPr>
              <w:t xml:space="preserve"> </w:t>
            </w:r>
            <w:proofErr w:type="spellStart"/>
            <w:r>
              <w:rPr>
                <w:rFonts w:ascii="Cambria" w:hAnsi="Cambria"/>
              </w:rPr>
              <w:t>inšpekcijske</w:t>
            </w:r>
            <w:proofErr w:type="spellEnd"/>
            <w:r>
              <w:rPr>
                <w:rFonts w:ascii="Cambria" w:hAnsi="Cambria"/>
              </w:rPr>
              <w:t xml:space="preserve"> </w:t>
            </w:r>
            <w:proofErr w:type="spellStart"/>
            <w:r>
              <w:rPr>
                <w:rFonts w:ascii="Cambria" w:hAnsi="Cambria"/>
              </w:rPr>
              <w:t>službe</w:t>
            </w:r>
            <w:proofErr w:type="spellEnd"/>
            <w:r>
              <w:rPr>
                <w:rFonts w:ascii="Cambria" w:hAnsi="Cambria"/>
              </w:rPr>
              <w:t xml:space="preserve">. V </w:t>
            </w:r>
            <w:proofErr w:type="spellStart"/>
            <w:r>
              <w:rPr>
                <w:rFonts w:ascii="Cambria" w:hAnsi="Cambria"/>
              </w:rPr>
              <w:t>kolikor</w:t>
            </w:r>
            <w:proofErr w:type="spellEnd"/>
            <w:r>
              <w:rPr>
                <w:rFonts w:ascii="Cambria" w:hAnsi="Cambria"/>
              </w:rPr>
              <w:t xml:space="preserve"> pa se </w:t>
            </w:r>
            <w:proofErr w:type="spellStart"/>
            <w:r>
              <w:rPr>
                <w:rFonts w:ascii="Cambria" w:hAnsi="Cambria"/>
              </w:rPr>
              <w:t>ocenjuje</w:t>
            </w:r>
            <w:proofErr w:type="spellEnd"/>
            <w:r>
              <w:rPr>
                <w:rFonts w:ascii="Cambria" w:hAnsi="Cambria"/>
              </w:rPr>
              <w:t xml:space="preserve">, da </w:t>
            </w:r>
            <w:proofErr w:type="spellStart"/>
            <w:r>
              <w:rPr>
                <w:rFonts w:ascii="Cambria" w:hAnsi="Cambria"/>
              </w:rPr>
              <w:lastRenderedPageBreak/>
              <w:t>dosedanja</w:t>
            </w:r>
            <w:proofErr w:type="spellEnd"/>
            <w:r>
              <w:rPr>
                <w:rFonts w:ascii="Cambria" w:hAnsi="Cambria"/>
              </w:rPr>
              <w:t xml:space="preserve"> </w:t>
            </w:r>
            <w:proofErr w:type="spellStart"/>
            <w:r>
              <w:rPr>
                <w:rFonts w:ascii="Cambria" w:hAnsi="Cambria"/>
              </w:rPr>
              <w:t>ureditev</w:t>
            </w:r>
            <w:proofErr w:type="spellEnd"/>
            <w:r>
              <w:rPr>
                <w:rFonts w:ascii="Cambria" w:hAnsi="Cambria"/>
              </w:rPr>
              <w:t xml:space="preserve"> </w:t>
            </w:r>
            <w:proofErr w:type="spellStart"/>
            <w:r>
              <w:rPr>
                <w:rFonts w:ascii="Cambria" w:hAnsi="Cambria"/>
              </w:rPr>
              <w:t>ni</w:t>
            </w:r>
            <w:proofErr w:type="spellEnd"/>
            <w:r>
              <w:rPr>
                <w:rFonts w:ascii="Cambria" w:hAnsi="Cambria"/>
              </w:rPr>
              <w:t xml:space="preserve"> </w:t>
            </w:r>
            <w:proofErr w:type="spellStart"/>
            <w:r>
              <w:rPr>
                <w:rFonts w:ascii="Cambria" w:hAnsi="Cambria"/>
              </w:rPr>
              <w:t>ustrezna</w:t>
            </w:r>
            <w:proofErr w:type="spellEnd"/>
            <w:r>
              <w:rPr>
                <w:rFonts w:ascii="Cambria" w:hAnsi="Cambria"/>
              </w:rPr>
              <w:t xml:space="preserve"> </w:t>
            </w:r>
            <w:proofErr w:type="spellStart"/>
            <w:r>
              <w:rPr>
                <w:rFonts w:ascii="Cambria" w:hAnsi="Cambria"/>
              </w:rPr>
              <w:t>predlagamo</w:t>
            </w:r>
            <w:proofErr w:type="spellEnd"/>
            <w:r>
              <w:rPr>
                <w:rFonts w:ascii="Cambria" w:hAnsi="Cambria"/>
              </w:rPr>
              <w:t xml:space="preserve">, da se </w:t>
            </w:r>
            <w:proofErr w:type="spellStart"/>
            <w:r>
              <w:rPr>
                <w:rFonts w:ascii="Cambria" w:hAnsi="Cambria"/>
              </w:rPr>
              <w:t>dodajo</w:t>
            </w:r>
            <w:proofErr w:type="spellEnd"/>
            <w:r>
              <w:rPr>
                <w:rFonts w:ascii="Cambria" w:hAnsi="Cambria"/>
              </w:rPr>
              <w:t xml:space="preserve"> </w:t>
            </w:r>
            <w:proofErr w:type="spellStart"/>
            <w:r>
              <w:rPr>
                <w:rFonts w:ascii="Cambria" w:hAnsi="Cambria"/>
              </w:rPr>
              <w:t>tovrstna</w:t>
            </w:r>
            <w:proofErr w:type="spellEnd"/>
            <w:r>
              <w:rPr>
                <w:rFonts w:ascii="Cambria" w:hAnsi="Cambria"/>
              </w:rPr>
              <w:t xml:space="preserve"> </w:t>
            </w:r>
            <w:proofErr w:type="spellStart"/>
            <w:r>
              <w:rPr>
                <w:rFonts w:ascii="Cambria" w:hAnsi="Cambria"/>
              </w:rPr>
              <w:t>pooblastila</w:t>
            </w:r>
            <w:proofErr w:type="spellEnd"/>
            <w:r>
              <w:rPr>
                <w:rFonts w:ascii="Cambria" w:hAnsi="Cambria"/>
              </w:rPr>
              <w:t xml:space="preserve"> </w:t>
            </w:r>
            <w:proofErr w:type="spellStart"/>
            <w:r>
              <w:rPr>
                <w:rFonts w:ascii="Cambria" w:hAnsi="Cambria"/>
              </w:rPr>
              <w:t>Policiji</w:t>
            </w:r>
            <w:proofErr w:type="spellEnd"/>
            <w:r>
              <w:rPr>
                <w:rFonts w:ascii="Cambria" w:hAnsi="Cambria"/>
              </w:rPr>
              <w:t xml:space="preserve">, ki </w:t>
            </w:r>
            <w:proofErr w:type="spellStart"/>
            <w:r>
              <w:rPr>
                <w:rFonts w:ascii="Cambria" w:hAnsi="Cambria"/>
              </w:rPr>
              <w:t>že</w:t>
            </w:r>
            <w:proofErr w:type="spellEnd"/>
            <w:r>
              <w:rPr>
                <w:rFonts w:ascii="Cambria" w:hAnsi="Cambria"/>
              </w:rPr>
              <w:t xml:space="preserve"> </w:t>
            </w:r>
            <w:proofErr w:type="spellStart"/>
            <w:r>
              <w:rPr>
                <w:rFonts w:ascii="Cambria" w:hAnsi="Cambria"/>
              </w:rPr>
              <w:t>izvaja</w:t>
            </w:r>
            <w:proofErr w:type="spellEnd"/>
            <w:r>
              <w:rPr>
                <w:rFonts w:ascii="Cambria" w:hAnsi="Cambria"/>
              </w:rPr>
              <w:t xml:space="preserve"> </w:t>
            </w:r>
            <w:proofErr w:type="spellStart"/>
            <w:r>
              <w:rPr>
                <w:rFonts w:ascii="Cambria" w:hAnsi="Cambria"/>
              </w:rPr>
              <w:t>nadzor</w:t>
            </w:r>
            <w:proofErr w:type="spellEnd"/>
            <w:r>
              <w:rPr>
                <w:rFonts w:ascii="Cambria" w:hAnsi="Cambria"/>
              </w:rPr>
              <w:t xml:space="preserve"> po </w:t>
            </w:r>
            <w:proofErr w:type="spellStart"/>
            <w:r>
              <w:rPr>
                <w:rFonts w:ascii="Cambria" w:hAnsi="Cambria"/>
              </w:rPr>
              <w:t>vprašanju</w:t>
            </w:r>
            <w:proofErr w:type="spellEnd"/>
            <w:r>
              <w:rPr>
                <w:rFonts w:ascii="Cambria" w:hAnsi="Cambria"/>
              </w:rPr>
              <w:t xml:space="preserve"> </w:t>
            </w:r>
            <w:proofErr w:type="spellStart"/>
            <w:r>
              <w:rPr>
                <w:rFonts w:ascii="Cambria" w:hAnsi="Cambria"/>
              </w:rPr>
              <w:t>kršitev</w:t>
            </w:r>
            <w:proofErr w:type="spellEnd"/>
            <w:r>
              <w:rPr>
                <w:rFonts w:ascii="Cambria" w:hAnsi="Cambria"/>
              </w:rPr>
              <w:t xml:space="preserve"> </w:t>
            </w:r>
            <w:proofErr w:type="spellStart"/>
            <w:r>
              <w:rPr>
                <w:rFonts w:ascii="Cambria" w:hAnsi="Cambria"/>
              </w:rPr>
              <w:t>javnega</w:t>
            </w:r>
            <w:proofErr w:type="spellEnd"/>
            <w:r>
              <w:rPr>
                <w:rFonts w:ascii="Cambria" w:hAnsi="Cambria"/>
              </w:rPr>
              <w:t xml:space="preserve"> </w:t>
            </w:r>
            <w:proofErr w:type="spellStart"/>
            <w:r>
              <w:rPr>
                <w:rFonts w:ascii="Cambria" w:hAnsi="Cambria"/>
              </w:rPr>
              <w:t>reda</w:t>
            </w:r>
            <w:proofErr w:type="spellEnd"/>
            <w:r>
              <w:rPr>
                <w:rFonts w:ascii="Cambria" w:hAnsi="Cambria"/>
              </w:rPr>
              <w:t xml:space="preserve"> in </w:t>
            </w:r>
            <w:proofErr w:type="spellStart"/>
            <w:r>
              <w:rPr>
                <w:rFonts w:ascii="Cambria" w:hAnsi="Cambria"/>
              </w:rPr>
              <w:t>miru</w:t>
            </w:r>
            <w:proofErr w:type="spellEnd"/>
            <w:r>
              <w:rPr>
                <w:rFonts w:ascii="Cambria" w:hAnsi="Cambria"/>
              </w:rPr>
              <w:t>.</w:t>
            </w:r>
          </w:p>
          <w:p w14:paraId="7952FB81" w14:textId="77777777" w:rsidR="00223439" w:rsidRPr="00E5770E" w:rsidRDefault="00223439" w:rsidP="00870EA0">
            <w:pPr>
              <w:snapToGrid w:val="0"/>
              <w:spacing w:after="0"/>
              <w:rPr>
                <w:rFonts w:ascii="Tahoma" w:eastAsia="Times New Roman" w:hAnsi="Tahoma" w:cs="Tahoma"/>
                <w:color w:val="000000"/>
                <w:sz w:val="20"/>
                <w:szCs w:val="20"/>
                <w:lang w:val="sl-SI"/>
              </w:rPr>
            </w:pPr>
          </w:p>
        </w:tc>
        <w:tc>
          <w:tcPr>
            <w:tcW w:w="5649" w:type="dxa"/>
            <w:shd w:val="clear" w:color="auto" w:fill="auto"/>
          </w:tcPr>
          <w:p w14:paraId="3D9DA0F7" w14:textId="77777777" w:rsidR="004F48AB" w:rsidRDefault="004F48AB" w:rsidP="004F48AB">
            <w:pPr>
              <w:ind w:left="720"/>
              <w:rPr>
                <w:rFonts w:ascii="Cambria" w:hAnsi="Cambria"/>
              </w:rPr>
            </w:pPr>
            <w:proofErr w:type="spellStart"/>
            <w:r>
              <w:rPr>
                <w:rFonts w:ascii="Cambria" w:hAnsi="Cambria"/>
              </w:rPr>
              <w:lastRenderedPageBreak/>
              <w:t>Predlog</w:t>
            </w:r>
            <w:proofErr w:type="spellEnd"/>
            <w:r>
              <w:rPr>
                <w:rFonts w:ascii="Cambria" w:hAnsi="Cambria"/>
              </w:rPr>
              <w:t xml:space="preserve"> </w:t>
            </w:r>
            <w:proofErr w:type="spellStart"/>
            <w:r>
              <w:rPr>
                <w:rFonts w:ascii="Cambria" w:hAnsi="Cambria"/>
              </w:rPr>
              <w:t>zakona</w:t>
            </w:r>
            <w:proofErr w:type="spellEnd"/>
            <w:r>
              <w:rPr>
                <w:rFonts w:ascii="Cambria" w:hAnsi="Cambria"/>
              </w:rPr>
              <w:t xml:space="preserve"> </w:t>
            </w:r>
            <w:proofErr w:type="spellStart"/>
            <w:r>
              <w:rPr>
                <w:rFonts w:ascii="Cambria" w:hAnsi="Cambria"/>
              </w:rPr>
              <w:t>predvideva</w:t>
            </w:r>
            <w:proofErr w:type="spellEnd"/>
            <w:r>
              <w:rPr>
                <w:rFonts w:ascii="Cambria" w:hAnsi="Cambria"/>
              </w:rPr>
              <w:t xml:space="preserve"> </w:t>
            </w:r>
            <w:proofErr w:type="spellStart"/>
            <w:r>
              <w:rPr>
                <w:rFonts w:ascii="Cambria" w:hAnsi="Cambria"/>
              </w:rPr>
              <w:t>dodatna</w:t>
            </w:r>
            <w:proofErr w:type="spellEnd"/>
            <w:r>
              <w:rPr>
                <w:rFonts w:ascii="Cambria" w:hAnsi="Cambria"/>
              </w:rPr>
              <w:t xml:space="preserve"> </w:t>
            </w:r>
            <w:proofErr w:type="spellStart"/>
            <w:r>
              <w:rPr>
                <w:rFonts w:ascii="Cambria" w:hAnsi="Cambria"/>
              </w:rPr>
              <w:t>pooblastila</w:t>
            </w:r>
            <w:proofErr w:type="spellEnd"/>
            <w:r>
              <w:rPr>
                <w:rFonts w:ascii="Cambria" w:hAnsi="Cambria"/>
              </w:rPr>
              <w:t xml:space="preserve"> </w:t>
            </w:r>
            <w:proofErr w:type="spellStart"/>
            <w:r>
              <w:rPr>
                <w:rFonts w:ascii="Cambria" w:hAnsi="Cambria"/>
              </w:rPr>
              <w:t>občinskim</w:t>
            </w:r>
            <w:proofErr w:type="spellEnd"/>
            <w:r>
              <w:rPr>
                <w:rFonts w:ascii="Cambria" w:hAnsi="Cambria"/>
              </w:rPr>
              <w:t xml:space="preserve"> </w:t>
            </w:r>
            <w:proofErr w:type="spellStart"/>
            <w:r>
              <w:rPr>
                <w:rFonts w:ascii="Cambria" w:hAnsi="Cambria"/>
              </w:rPr>
              <w:t>inšpekcijam</w:t>
            </w:r>
            <w:proofErr w:type="spellEnd"/>
            <w:r>
              <w:rPr>
                <w:rFonts w:ascii="Cambria" w:hAnsi="Cambria"/>
              </w:rPr>
              <w:t xml:space="preserve"> po </w:t>
            </w:r>
            <w:proofErr w:type="spellStart"/>
            <w:r>
              <w:rPr>
                <w:rFonts w:ascii="Cambria" w:hAnsi="Cambria"/>
              </w:rPr>
              <w:t>vprašanju</w:t>
            </w:r>
            <w:proofErr w:type="spellEnd"/>
            <w:r>
              <w:rPr>
                <w:rFonts w:ascii="Cambria" w:hAnsi="Cambria"/>
              </w:rPr>
              <w:t xml:space="preserve"> </w:t>
            </w:r>
            <w:proofErr w:type="spellStart"/>
            <w:r>
              <w:rPr>
                <w:rFonts w:ascii="Cambria" w:hAnsi="Cambria"/>
              </w:rPr>
              <w:t>nadzora</w:t>
            </w:r>
            <w:proofErr w:type="spellEnd"/>
            <w:r>
              <w:rPr>
                <w:rFonts w:ascii="Cambria" w:hAnsi="Cambria"/>
              </w:rPr>
              <w:t xml:space="preserve"> </w:t>
            </w:r>
            <w:proofErr w:type="spellStart"/>
            <w:r>
              <w:rPr>
                <w:rFonts w:ascii="Cambria" w:hAnsi="Cambria"/>
              </w:rPr>
              <w:t>obratovalnega</w:t>
            </w:r>
            <w:proofErr w:type="spellEnd"/>
            <w:r>
              <w:rPr>
                <w:rFonts w:ascii="Cambria" w:hAnsi="Cambria"/>
              </w:rPr>
              <w:t xml:space="preserve"> </w:t>
            </w:r>
            <w:proofErr w:type="spellStart"/>
            <w:r>
              <w:rPr>
                <w:rFonts w:ascii="Cambria" w:hAnsi="Cambria"/>
              </w:rPr>
              <w:t>časa</w:t>
            </w:r>
            <w:proofErr w:type="spellEnd"/>
            <w:r>
              <w:rPr>
                <w:rFonts w:ascii="Cambria" w:hAnsi="Cambria"/>
              </w:rPr>
              <w:t xml:space="preserve">. </w:t>
            </w:r>
            <w:proofErr w:type="spellStart"/>
            <w:r>
              <w:rPr>
                <w:rFonts w:ascii="Cambria" w:hAnsi="Cambria"/>
              </w:rPr>
              <w:t>Tovrstni</w:t>
            </w:r>
            <w:proofErr w:type="spellEnd"/>
            <w:r>
              <w:rPr>
                <w:rFonts w:ascii="Cambria" w:hAnsi="Cambria"/>
              </w:rPr>
              <w:t xml:space="preserve"> </w:t>
            </w:r>
            <w:proofErr w:type="spellStart"/>
            <w:r>
              <w:rPr>
                <w:rFonts w:ascii="Cambria" w:hAnsi="Cambria"/>
              </w:rPr>
              <w:t>nadzor</w:t>
            </w:r>
            <w:proofErr w:type="spellEnd"/>
            <w:r>
              <w:rPr>
                <w:rFonts w:ascii="Cambria" w:hAnsi="Cambria"/>
              </w:rPr>
              <w:t xml:space="preserve"> po </w:t>
            </w:r>
            <w:proofErr w:type="spellStart"/>
            <w:r>
              <w:rPr>
                <w:rFonts w:ascii="Cambria" w:hAnsi="Cambria"/>
              </w:rPr>
              <w:t>veljavni</w:t>
            </w:r>
            <w:proofErr w:type="spellEnd"/>
            <w:r>
              <w:rPr>
                <w:rFonts w:ascii="Cambria" w:hAnsi="Cambria"/>
              </w:rPr>
              <w:t xml:space="preserve"> </w:t>
            </w:r>
            <w:proofErr w:type="spellStart"/>
            <w:r>
              <w:rPr>
                <w:rFonts w:ascii="Cambria" w:hAnsi="Cambria"/>
              </w:rPr>
              <w:lastRenderedPageBreak/>
              <w:t>zakonodaji</w:t>
            </w:r>
            <w:proofErr w:type="spellEnd"/>
            <w:r>
              <w:rPr>
                <w:rFonts w:ascii="Cambria" w:hAnsi="Cambria"/>
              </w:rPr>
              <w:t xml:space="preserve"> </w:t>
            </w:r>
            <w:proofErr w:type="spellStart"/>
            <w:r>
              <w:rPr>
                <w:rFonts w:ascii="Cambria" w:hAnsi="Cambria"/>
              </w:rPr>
              <w:t>nadzira</w:t>
            </w:r>
            <w:proofErr w:type="spellEnd"/>
            <w:r>
              <w:rPr>
                <w:rFonts w:ascii="Cambria" w:hAnsi="Cambria"/>
              </w:rPr>
              <w:t xml:space="preserve"> </w:t>
            </w:r>
            <w:proofErr w:type="spellStart"/>
            <w:r>
              <w:rPr>
                <w:rFonts w:ascii="Cambria" w:hAnsi="Cambria"/>
              </w:rPr>
              <w:t>tržni</w:t>
            </w:r>
            <w:proofErr w:type="spellEnd"/>
            <w:r>
              <w:rPr>
                <w:rFonts w:ascii="Cambria" w:hAnsi="Cambria"/>
              </w:rPr>
              <w:t xml:space="preserve"> </w:t>
            </w:r>
            <w:proofErr w:type="spellStart"/>
            <w:r>
              <w:rPr>
                <w:rFonts w:ascii="Cambria" w:hAnsi="Cambria"/>
              </w:rPr>
              <w:t>inšpekcijski</w:t>
            </w:r>
            <w:proofErr w:type="spellEnd"/>
            <w:r>
              <w:rPr>
                <w:rFonts w:ascii="Cambria" w:hAnsi="Cambria"/>
              </w:rPr>
              <w:t xml:space="preserve"> organ </w:t>
            </w:r>
            <w:proofErr w:type="spellStart"/>
            <w:r>
              <w:rPr>
                <w:rFonts w:ascii="Cambria" w:hAnsi="Cambria"/>
              </w:rPr>
              <w:t>ter</w:t>
            </w:r>
            <w:proofErr w:type="spellEnd"/>
            <w:r>
              <w:rPr>
                <w:rFonts w:ascii="Cambria" w:hAnsi="Cambria"/>
              </w:rPr>
              <w:t xml:space="preserve"> </w:t>
            </w:r>
            <w:proofErr w:type="spellStart"/>
            <w:r>
              <w:rPr>
                <w:rFonts w:ascii="Cambria" w:hAnsi="Cambria"/>
              </w:rPr>
              <w:t>Policija</w:t>
            </w:r>
            <w:proofErr w:type="spellEnd"/>
            <w:r>
              <w:rPr>
                <w:rFonts w:ascii="Cambria" w:hAnsi="Cambria"/>
              </w:rPr>
              <w:t>.</w:t>
            </w:r>
          </w:p>
          <w:p w14:paraId="63350523" w14:textId="77777777" w:rsidR="004F48AB" w:rsidRDefault="004F48AB" w:rsidP="004F48AB">
            <w:pPr>
              <w:ind w:left="720"/>
              <w:rPr>
                <w:rFonts w:ascii="Cambria" w:hAnsi="Cambria"/>
              </w:rPr>
            </w:pPr>
            <w:r>
              <w:rPr>
                <w:rFonts w:ascii="Cambria" w:hAnsi="Cambria"/>
              </w:rPr>
              <w:t xml:space="preserve">Na </w:t>
            </w:r>
            <w:proofErr w:type="spellStart"/>
            <w:r>
              <w:rPr>
                <w:rFonts w:ascii="Cambria" w:hAnsi="Cambria"/>
              </w:rPr>
              <w:t>območju</w:t>
            </w:r>
            <w:proofErr w:type="spellEnd"/>
            <w:r>
              <w:rPr>
                <w:rFonts w:ascii="Cambria" w:hAnsi="Cambria"/>
              </w:rPr>
              <w:t xml:space="preserve"> </w:t>
            </w:r>
            <w:proofErr w:type="spellStart"/>
            <w:r>
              <w:rPr>
                <w:rFonts w:ascii="Cambria" w:hAnsi="Cambria"/>
              </w:rPr>
              <w:t>Istrskih</w:t>
            </w:r>
            <w:proofErr w:type="spellEnd"/>
            <w:r>
              <w:rPr>
                <w:rFonts w:ascii="Cambria" w:hAnsi="Cambria"/>
              </w:rPr>
              <w:t xml:space="preserve"> občin (Piran, Izola, Koper, </w:t>
            </w:r>
            <w:proofErr w:type="spellStart"/>
            <w:r>
              <w:rPr>
                <w:rFonts w:ascii="Cambria" w:hAnsi="Cambria"/>
              </w:rPr>
              <w:t>Ankaran</w:t>
            </w:r>
            <w:proofErr w:type="spellEnd"/>
            <w:r>
              <w:rPr>
                <w:rFonts w:ascii="Cambria" w:hAnsi="Cambria"/>
              </w:rPr>
              <w:t xml:space="preserve">) </w:t>
            </w:r>
            <w:proofErr w:type="spellStart"/>
            <w:r>
              <w:rPr>
                <w:rFonts w:ascii="Cambria" w:hAnsi="Cambria"/>
              </w:rPr>
              <w:t>imamo</w:t>
            </w:r>
            <w:proofErr w:type="spellEnd"/>
            <w:r>
              <w:rPr>
                <w:rFonts w:ascii="Cambria" w:hAnsi="Cambria"/>
              </w:rPr>
              <w:t xml:space="preserve"> </w:t>
            </w:r>
            <w:proofErr w:type="spellStart"/>
            <w:r>
              <w:rPr>
                <w:rFonts w:ascii="Cambria" w:hAnsi="Cambria"/>
              </w:rPr>
              <w:t>večje</w:t>
            </w:r>
            <w:proofErr w:type="spellEnd"/>
            <w:r>
              <w:rPr>
                <w:rFonts w:ascii="Cambria" w:hAnsi="Cambria"/>
              </w:rPr>
              <w:t xml:space="preserve"> </w:t>
            </w:r>
            <w:proofErr w:type="spellStart"/>
            <w:r>
              <w:rPr>
                <w:rFonts w:ascii="Cambria" w:hAnsi="Cambria"/>
              </w:rPr>
              <w:t>število</w:t>
            </w:r>
            <w:proofErr w:type="spellEnd"/>
            <w:r>
              <w:rPr>
                <w:rFonts w:ascii="Cambria" w:hAnsi="Cambria"/>
              </w:rPr>
              <w:t xml:space="preserve"> </w:t>
            </w:r>
            <w:proofErr w:type="spellStart"/>
            <w:r>
              <w:rPr>
                <w:rFonts w:ascii="Cambria" w:hAnsi="Cambria"/>
              </w:rPr>
              <w:t>gostinskih</w:t>
            </w:r>
            <w:proofErr w:type="spellEnd"/>
            <w:r>
              <w:rPr>
                <w:rFonts w:ascii="Cambria" w:hAnsi="Cambria"/>
              </w:rPr>
              <w:t xml:space="preserve"> </w:t>
            </w:r>
            <w:proofErr w:type="spellStart"/>
            <w:r>
              <w:rPr>
                <w:rFonts w:ascii="Cambria" w:hAnsi="Cambria"/>
              </w:rPr>
              <w:t>lokalov</w:t>
            </w:r>
            <w:proofErr w:type="spellEnd"/>
            <w:r>
              <w:rPr>
                <w:rFonts w:ascii="Cambria" w:hAnsi="Cambria"/>
              </w:rPr>
              <w:t xml:space="preserve">, ki </w:t>
            </w:r>
            <w:proofErr w:type="spellStart"/>
            <w:r>
              <w:rPr>
                <w:rFonts w:ascii="Cambria" w:hAnsi="Cambria"/>
              </w:rPr>
              <w:t>jih</w:t>
            </w:r>
            <w:proofErr w:type="spellEnd"/>
            <w:r>
              <w:rPr>
                <w:rFonts w:ascii="Cambria" w:hAnsi="Cambria"/>
              </w:rPr>
              <w:t xml:space="preserve"> </w:t>
            </w:r>
            <w:proofErr w:type="spellStart"/>
            <w:r>
              <w:rPr>
                <w:rFonts w:ascii="Cambria" w:hAnsi="Cambria"/>
              </w:rPr>
              <w:t>bo</w:t>
            </w:r>
            <w:proofErr w:type="spellEnd"/>
            <w:r>
              <w:rPr>
                <w:rFonts w:ascii="Cambria" w:hAnsi="Cambria"/>
              </w:rPr>
              <w:t xml:space="preserve"> </w:t>
            </w:r>
            <w:proofErr w:type="spellStart"/>
            <w:r>
              <w:rPr>
                <w:rFonts w:ascii="Cambria" w:hAnsi="Cambria"/>
              </w:rPr>
              <w:t>treba</w:t>
            </w:r>
            <w:proofErr w:type="spellEnd"/>
            <w:r>
              <w:rPr>
                <w:rFonts w:ascii="Cambria" w:hAnsi="Cambria"/>
              </w:rPr>
              <w:t xml:space="preserve"> </w:t>
            </w:r>
            <w:proofErr w:type="spellStart"/>
            <w:r>
              <w:rPr>
                <w:rFonts w:ascii="Cambria" w:hAnsi="Cambria"/>
              </w:rPr>
              <w:t>nadzirati</w:t>
            </w:r>
            <w:proofErr w:type="spellEnd"/>
            <w:r>
              <w:rPr>
                <w:rFonts w:ascii="Cambria" w:hAnsi="Cambria"/>
              </w:rPr>
              <w:t xml:space="preserve">. Ocenjujemo, da je </w:t>
            </w:r>
            <w:proofErr w:type="spellStart"/>
            <w:r>
              <w:rPr>
                <w:rFonts w:ascii="Cambria" w:hAnsi="Cambria"/>
              </w:rPr>
              <w:t>obstoječa</w:t>
            </w:r>
            <w:proofErr w:type="spellEnd"/>
            <w:r>
              <w:rPr>
                <w:rFonts w:ascii="Cambria" w:hAnsi="Cambria"/>
              </w:rPr>
              <w:t xml:space="preserve"> </w:t>
            </w:r>
            <w:proofErr w:type="spellStart"/>
            <w:r>
              <w:rPr>
                <w:rFonts w:ascii="Cambria" w:hAnsi="Cambria"/>
              </w:rPr>
              <w:t>ureditev</w:t>
            </w:r>
            <w:proofErr w:type="spellEnd"/>
            <w:r>
              <w:rPr>
                <w:rFonts w:ascii="Cambria" w:hAnsi="Cambria"/>
              </w:rPr>
              <w:t xml:space="preserve"> </w:t>
            </w:r>
            <w:proofErr w:type="spellStart"/>
            <w:r>
              <w:rPr>
                <w:rFonts w:ascii="Cambria" w:hAnsi="Cambria"/>
              </w:rPr>
              <w:t>nadzora</w:t>
            </w:r>
            <w:proofErr w:type="spellEnd"/>
            <w:r>
              <w:rPr>
                <w:rFonts w:ascii="Cambria" w:hAnsi="Cambria"/>
              </w:rPr>
              <w:t xml:space="preserve"> </w:t>
            </w:r>
            <w:proofErr w:type="spellStart"/>
            <w:r>
              <w:rPr>
                <w:rFonts w:ascii="Cambria" w:hAnsi="Cambria"/>
              </w:rPr>
              <w:t>ustrezno</w:t>
            </w:r>
            <w:proofErr w:type="spellEnd"/>
            <w:r>
              <w:rPr>
                <w:rFonts w:ascii="Cambria" w:hAnsi="Cambria"/>
              </w:rPr>
              <w:t xml:space="preserve"> </w:t>
            </w:r>
            <w:proofErr w:type="spellStart"/>
            <w:r>
              <w:rPr>
                <w:rFonts w:ascii="Cambria" w:hAnsi="Cambria"/>
              </w:rPr>
              <w:t>urejena</w:t>
            </w:r>
            <w:proofErr w:type="spellEnd"/>
            <w:r>
              <w:rPr>
                <w:rFonts w:ascii="Cambria" w:hAnsi="Cambria"/>
              </w:rPr>
              <w:t xml:space="preserve">. Za </w:t>
            </w:r>
            <w:proofErr w:type="spellStart"/>
            <w:r>
              <w:rPr>
                <w:rFonts w:ascii="Cambria" w:hAnsi="Cambria"/>
              </w:rPr>
              <w:t>izvedbo</w:t>
            </w:r>
            <w:proofErr w:type="spellEnd"/>
            <w:r>
              <w:rPr>
                <w:rFonts w:ascii="Cambria" w:hAnsi="Cambria"/>
              </w:rPr>
              <w:t xml:space="preserve"> </w:t>
            </w:r>
            <w:proofErr w:type="spellStart"/>
            <w:r>
              <w:rPr>
                <w:rFonts w:ascii="Cambria" w:hAnsi="Cambria"/>
              </w:rPr>
              <w:t>nadzorov</w:t>
            </w:r>
            <w:proofErr w:type="spellEnd"/>
            <w:r>
              <w:rPr>
                <w:rFonts w:ascii="Cambria" w:hAnsi="Cambria"/>
              </w:rPr>
              <w:t xml:space="preserve"> na </w:t>
            </w:r>
            <w:proofErr w:type="spellStart"/>
            <w:r>
              <w:rPr>
                <w:rFonts w:ascii="Cambria" w:hAnsi="Cambria"/>
              </w:rPr>
              <w:t>ravni</w:t>
            </w:r>
            <w:proofErr w:type="spellEnd"/>
            <w:r>
              <w:rPr>
                <w:rFonts w:ascii="Cambria" w:hAnsi="Cambria"/>
              </w:rPr>
              <w:t xml:space="preserve"> </w:t>
            </w:r>
            <w:proofErr w:type="spellStart"/>
            <w:r>
              <w:rPr>
                <w:rFonts w:ascii="Cambria" w:hAnsi="Cambria"/>
              </w:rPr>
              <w:t>občinskih</w:t>
            </w:r>
            <w:proofErr w:type="spellEnd"/>
            <w:r>
              <w:rPr>
                <w:rFonts w:ascii="Cambria" w:hAnsi="Cambria"/>
              </w:rPr>
              <w:t xml:space="preserve"> </w:t>
            </w:r>
            <w:proofErr w:type="spellStart"/>
            <w:r>
              <w:rPr>
                <w:rFonts w:ascii="Cambria" w:hAnsi="Cambria"/>
              </w:rPr>
              <w:t>inšpekcijah</w:t>
            </w:r>
            <w:proofErr w:type="spellEnd"/>
            <w:r>
              <w:rPr>
                <w:rFonts w:ascii="Cambria" w:hAnsi="Cambria"/>
              </w:rPr>
              <w:t xml:space="preserve"> bi </w:t>
            </w:r>
            <w:proofErr w:type="spellStart"/>
            <w:r>
              <w:rPr>
                <w:rFonts w:ascii="Cambria" w:hAnsi="Cambria"/>
              </w:rPr>
              <w:t>potrebne</w:t>
            </w:r>
            <w:proofErr w:type="spellEnd"/>
            <w:r>
              <w:rPr>
                <w:rFonts w:ascii="Cambria" w:hAnsi="Cambria"/>
              </w:rPr>
              <w:t xml:space="preserve"> </w:t>
            </w:r>
            <w:proofErr w:type="spellStart"/>
            <w:r>
              <w:rPr>
                <w:rFonts w:ascii="Cambria" w:hAnsi="Cambria"/>
              </w:rPr>
              <w:t>nove</w:t>
            </w:r>
            <w:proofErr w:type="spellEnd"/>
            <w:r>
              <w:rPr>
                <w:rFonts w:ascii="Cambria" w:hAnsi="Cambria"/>
              </w:rPr>
              <w:t xml:space="preserve"> </w:t>
            </w:r>
            <w:proofErr w:type="spellStart"/>
            <w:r>
              <w:rPr>
                <w:rFonts w:ascii="Cambria" w:hAnsi="Cambria"/>
              </w:rPr>
              <w:t>zaposlitve</w:t>
            </w:r>
            <w:proofErr w:type="spellEnd"/>
            <w:r>
              <w:rPr>
                <w:rFonts w:ascii="Cambria" w:hAnsi="Cambria"/>
              </w:rPr>
              <w:t xml:space="preserve">, </w:t>
            </w:r>
            <w:proofErr w:type="spellStart"/>
            <w:r>
              <w:rPr>
                <w:rFonts w:ascii="Cambria" w:hAnsi="Cambria"/>
              </w:rPr>
              <w:t>ker</w:t>
            </w:r>
            <w:proofErr w:type="spellEnd"/>
            <w:r>
              <w:rPr>
                <w:rFonts w:ascii="Cambria" w:hAnsi="Cambria"/>
              </w:rPr>
              <w:t xml:space="preserve"> z </w:t>
            </w:r>
            <w:proofErr w:type="spellStart"/>
            <w:r>
              <w:rPr>
                <w:rFonts w:ascii="Cambria" w:hAnsi="Cambria"/>
              </w:rPr>
              <w:t>obstoječim</w:t>
            </w:r>
            <w:proofErr w:type="spellEnd"/>
            <w:r>
              <w:rPr>
                <w:rFonts w:ascii="Cambria" w:hAnsi="Cambria"/>
              </w:rPr>
              <w:t xml:space="preserve"> </w:t>
            </w:r>
            <w:proofErr w:type="spellStart"/>
            <w:r>
              <w:rPr>
                <w:rFonts w:ascii="Cambria" w:hAnsi="Cambria"/>
              </w:rPr>
              <w:t>kadrom</w:t>
            </w:r>
            <w:proofErr w:type="spellEnd"/>
            <w:r>
              <w:rPr>
                <w:rFonts w:ascii="Cambria" w:hAnsi="Cambria"/>
              </w:rPr>
              <w:t xml:space="preserve"> ne bi </w:t>
            </w:r>
            <w:proofErr w:type="spellStart"/>
            <w:r>
              <w:rPr>
                <w:rFonts w:ascii="Cambria" w:hAnsi="Cambria"/>
              </w:rPr>
              <w:t>mogoče</w:t>
            </w:r>
            <w:proofErr w:type="spellEnd"/>
            <w:r>
              <w:rPr>
                <w:rFonts w:ascii="Cambria" w:hAnsi="Cambria"/>
              </w:rPr>
              <w:t xml:space="preserve"> </w:t>
            </w:r>
            <w:proofErr w:type="spellStart"/>
            <w:r>
              <w:rPr>
                <w:rFonts w:ascii="Cambria" w:hAnsi="Cambria"/>
              </w:rPr>
              <w:t>izvajati</w:t>
            </w:r>
            <w:proofErr w:type="spellEnd"/>
            <w:r>
              <w:rPr>
                <w:rFonts w:ascii="Cambria" w:hAnsi="Cambria"/>
              </w:rPr>
              <w:t xml:space="preserve"> </w:t>
            </w:r>
            <w:proofErr w:type="spellStart"/>
            <w:r>
              <w:rPr>
                <w:rFonts w:ascii="Cambria" w:hAnsi="Cambria"/>
              </w:rPr>
              <w:t>učinkovitega</w:t>
            </w:r>
            <w:proofErr w:type="spellEnd"/>
            <w:r>
              <w:rPr>
                <w:rFonts w:ascii="Cambria" w:hAnsi="Cambria"/>
              </w:rPr>
              <w:t xml:space="preserve"> </w:t>
            </w:r>
            <w:proofErr w:type="spellStart"/>
            <w:r>
              <w:rPr>
                <w:rFonts w:ascii="Cambria" w:hAnsi="Cambria"/>
              </w:rPr>
              <w:t>nadzora</w:t>
            </w:r>
            <w:proofErr w:type="spellEnd"/>
            <w:r>
              <w:rPr>
                <w:rFonts w:ascii="Cambria" w:hAnsi="Cambria"/>
              </w:rPr>
              <w:t>.</w:t>
            </w:r>
          </w:p>
          <w:p w14:paraId="7F8776BA" w14:textId="77777777" w:rsidR="00223439" w:rsidRPr="00E5770E" w:rsidRDefault="00223439" w:rsidP="00870EA0">
            <w:pPr>
              <w:snapToGrid w:val="0"/>
              <w:spacing w:after="0"/>
              <w:rPr>
                <w:rFonts w:ascii="Tahoma" w:eastAsia="Times New Roman" w:hAnsi="Tahoma" w:cs="Tahoma"/>
                <w:color w:val="000000"/>
                <w:sz w:val="20"/>
                <w:szCs w:val="20"/>
                <w:lang w:val="sl-SI"/>
              </w:rPr>
            </w:pPr>
          </w:p>
        </w:tc>
      </w:tr>
      <w:tr w:rsidR="00870EA0" w:rsidRPr="00E5770E" w14:paraId="24510859" w14:textId="77777777" w:rsidTr="00870EA0">
        <w:trPr>
          <w:trHeight w:val="436"/>
        </w:trPr>
        <w:tc>
          <w:tcPr>
            <w:tcW w:w="1008" w:type="dxa"/>
            <w:shd w:val="clear" w:color="auto" w:fill="auto"/>
          </w:tcPr>
          <w:p w14:paraId="744C16D1" w14:textId="77777777" w:rsidR="00870EA0" w:rsidRDefault="00870EA0" w:rsidP="00870EA0">
            <w:pPr>
              <w:snapToGrid w:val="0"/>
              <w:spacing w:after="0"/>
              <w:rPr>
                <w:rFonts w:ascii="Tahoma" w:eastAsia="Times New Roman" w:hAnsi="Tahoma" w:cs="Tahoma"/>
                <w:color w:val="000000"/>
                <w:sz w:val="20"/>
                <w:szCs w:val="20"/>
                <w:lang w:val="sl-SI"/>
              </w:rPr>
            </w:pPr>
          </w:p>
          <w:p w14:paraId="2DE4F6A7" w14:textId="6FBE583D" w:rsidR="00870EA0" w:rsidRDefault="00870EA0"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10.</w:t>
            </w:r>
          </w:p>
        </w:tc>
        <w:tc>
          <w:tcPr>
            <w:tcW w:w="6501" w:type="dxa"/>
            <w:shd w:val="clear" w:color="auto" w:fill="auto"/>
          </w:tcPr>
          <w:p w14:paraId="41B43D36" w14:textId="77777777" w:rsidR="004F48AB" w:rsidRDefault="004F48AB" w:rsidP="004F48AB">
            <w:pPr>
              <w:pStyle w:val="Odstavekseznama"/>
              <w:numPr>
                <w:ilvl w:val="0"/>
                <w:numId w:val="2"/>
              </w:numPr>
              <w:rPr>
                <w:rFonts w:ascii="Cambria" w:hAnsi="Cambria"/>
              </w:rPr>
            </w:pPr>
            <w:r>
              <w:rPr>
                <w:rFonts w:ascii="Cambria" w:hAnsi="Cambria"/>
              </w:rPr>
              <w:t>Kratkoročno oddajanje nepremičnin (19., 21., 22, 23., 24.,25. in 29. člen)</w:t>
            </w:r>
          </w:p>
          <w:p w14:paraId="6C0E6709" w14:textId="77777777" w:rsidR="004F48AB" w:rsidRDefault="004F48AB" w:rsidP="004F48AB">
            <w:pPr>
              <w:pStyle w:val="Odstavekseznama"/>
              <w:rPr>
                <w:rFonts w:ascii="Cambria" w:hAnsi="Cambria"/>
              </w:rPr>
            </w:pPr>
          </w:p>
          <w:p w14:paraId="7F93B170" w14:textId="77777777" w:rsidR="004F48AB" w:rsidRDefault="004F48AB" w:rsidP="004F48AB">
            <w:pPr>
              <w:pStyle w:val="Odstavekseznama"/>
              <w:rPr>
                <w:rFonts w:ascii="Cambria" w:hAnsi="Cambria"/>
              </w:rPr>
            </w:pPr>
            <w:r>
              <w:rPr>
                <w:rFonts w:ascii="Cambria" w:hAnsi="Cambria"/>
              </w:rPr>
              <w:t>Predlagamo, da AJPES ob vnosu preverja ali je izdano soglasje iz 19. člena, na način, da se omogoči vnos izdanih dovoljenj s strani občin v sistem AJPES ter s tem avtomatizirano preverja ali ima vložnik za stanovanje izdano soglasje s strani občine. Na tak način bo zmanjšano število vnosov, ki ne izpolnjujejo osnovnih zahtev ter olajšan nadzor.</w:t>
            </w:r>
          </w:p>
          <w:p w14:paraId="600B088D" w14:textId="77777777" w:rsidR="004F48AB" w:rsidRDefault="004F48AB" w:rsidP="004F48AB">
            <w:pPr>
              <w:pStyle w:val="Odstavekseznama"/>
              <w:rPr>
                <w:rFonts w:ascii="Cambria" w:hAnsi="Cambria"/>
              </w:rPr>
            </w:pPr>
          </w:p>
          <w:p w14:paraId="2253F499" w14:textId="77777777" w:rsidR="004F48AB" w:rsidRDefault="004F48AB" w:rsidP="004F48AB">
            <w:pPr>
              <w:pStyle w:val="Odstavekseznama"/>
              <w:rPr>
                <w:rFonts w:ascii="Cambria" w:hAnsi="Cambria"/>
              </w:rPr>
            </w:pPr>
            <w:r>
              <w:rPr>
                <w:rFonts w:ascii="Cambria" w:hAnsi="Cambria"/>
              </w:rPr>
              <w:t xml:space="preserve">Obenem predlagamo, da se v zakon vključi obveza za posredovanje podatkov (analitika rezervacije z osebnimi podatki) s strani spletnih turističnih rezervacijskih </w:t>
            </w:r>
            <w:r>
              <w:rPr>
                <w:rFonts w:ascii="Cambria" w:hAnsi="Cambria"/>
              </w:rPr>
              <w:lastRenderedPageBreak/>
              <w:t xml:space="preserve">sistemov (npr. </w:t>
            </w:r>
            <w:proofErr w:type="spellStart"/>
            <w:r>
              <w:rPr>
                <w:rFonts w:ascii="Cambria" w:hAnsi="Cambria"/>
              </w:rPr>
              <w:t>Booking</w:t>
            </w:r>
            <w:proofErr w:type="spellEnd"/>
            <w:r>
              <w:rPr>
                <w:rFonts w:ascii="Cambria" w:hAnsi="Cambria"/>
              </w:rPr>
              <w:t xml:space="preserve">, </w:t>
            </w:r>
            <w:proofErr w:type="spellStart"/>
            <w:r>
              <w:rPr>
                <w:rFonts w:ascii="Cambria" w:hAnsi="Cambria"/>
              </w:rPr>
              <w:t>Airbnb</w:t>
            </w:r>
            <w:proofErr w:type="spellEnd"/>
            <w:r>
              <w:rPr>
                <w:rFonts w:ascii="Cambria" w:hAnsi="Cambria"/>
              </w:rPr>
              <w:t xml:space="preserve">), inšpekcijskim službam, zaradi kakovostnejšega in učinkovitejšega nadzora. </w:t>
            </w:r>
          </w:p>
          <w:p w14:paraId="09DB503A" w14:textId="77777777" w:rsidR="004F48AB" w:rsidRDefault="004F48AB" w:rsidP="004F48AB">
            <w:pPr>
              <w:pStyle w:val="Odstavekseznama"/>
              <w:rPr>
                <w:rFonts w:ascii="Cambria" w:hAnsi="Cambria"/>
              </w:rPr>
            </w:pPr>
            <w:r>
              <w:rPr>
                <w:rFonts w:ascii="Cambria" w:hAnsi="Cambria"/>
              </w:rPr>
              <w:t xml:space="preserve">Poleg navedenega predlagamo, da se pogojuje vnos v tovrstne spletne turistične rezervacijske sisteme le za nastanitvene obrate, ki so vneseni v AJPES. </w:t>
            </w:r>
          </w:p>
          <w:p w14:paraId="3DA16EDA" w14:textId="77777777" w:rsidR="004F48AB" w:rsidRDefault="004F48AB" w:rsidP="004F48AB">
            <w:pPr>
              <w:pStyle w:val="Odstavekseznama"/>
            </w:pPr>
            <w:r>
              <w:rPr>
                <w:rFonts w:ascii="Cambria" w:hAnsi="Cambria"/>
              </w:rPr>
              <w:t>Predlagamo, da se v zakonu določijo tovrstne obveze z ustreznimi posledicami ob morebitnem neizpolnjevanju.</w:t>
            </w:r>
          </w:p>
          <w:p w14:paraId="43D73810" w14:textId="77777777" w:rsidR="00870EA0" w:rsidRPr="00E5770E" w:rsidRDefault="00870EA0" w:rsidP="00870EA0">
            <w:pPr>
              <w:snapToGrid w:val="0"/>
              <w:spacing w:after="0"/>
              <w:rPr>
                <w:rFonts w:ascii="Tahoma" w:eastAsia="Times New Roman" w:hAnsi="Tahoma" w:cs="Tahoma"/>
                <w:color w:val="000000"/>
                <w:sz w:val="20"/>
                <w:szCs w:val="20"/>
                <w:lang w:val="sl-SI"/>
              </w:rPr>
            </w:pPr>
          </w:p>
        </w:tc>
        <w:tc>
          <w:tcPr>
            <w:tcW w:w="5649" w:type="dxa"/>
            <w:shd w:val="clear" w:color="auto" w:fill="auto"/>
          </w:tcPr>
          <w:p w14:paraId="78222779" w14:textId="77777777" w:rsidR="004F48AB" w:rsidRDefault="004F48AB" w:rsidP="004F48AB">
            <w:pPr>
              <w:pStyle w:val="Odstavekseznama"/>
              <w:rPr>
                <w:rFonts w:ascii="Cambria" w:hAnsi="Cambria"/>
              </w:rPr>
            </w:pPr>
            <w:r>
              <w:rPr>
                <w:rFonts w:ascii="Cambria" w:hAnsi="Cambria"/>
              </w:rPr>
              <w:lastRenderedPageBreak/>
              <w:t>Predlog zakona med drugim določa pristojnosti AJPES v zvezi vpisa nastanitvenega prostora v register. Zakon predvideva avtomatični vpis v register ter izdajo enolične identifikacijske številke za nastanitveni prostor, ko izvajalec nastanitvene dejavnosti poda popolno vlogo.</w:t>
            </w:r>
          </w:p>
          <w:p w14:paraId="51513FE5" w14:textId="77777777" w:rsidR="004F48AB" w:rsidRDefault="004F48AB" w:rsidP="004F48AB">
            <w:pPr>
              <w:pStyle w:val="Odstavekseznama"/>
              <w:rPr>
                <w:rFonts w:ascii="Cambria" w:hAnsi="Cambria"/>
              </w:rPr>
            </w:pPr>
            <w:r>
              <w:rPr>
                <w:rFonts w:ascii="Cambria" w:hAnsi="Cambria"/>
              </w:rPr>
              <w:t>Preverjanje popolnost in pravilnosti podatkov se lahko izvede s strani AJPES ali inšpekcijskih služb po izvedenem avtomatičnem vpisu.</w:t>
            </w:r>
          </w:p>
          <w:p w14:paraId="350D269C" w14:textId="77777777" w:rsidR="004F48AB" w:rsidRDefault="004F48AB" w:rsidP="004F48AB">
            <w:pPr>
              <w:pStyle w:val="Odstavekseznama"/>
              <w:rPr>
                <w:rFonts w:ascii="Cambria" w:hAnsi="Cambria"/>
              </w:rPr>
            </w:pPr>
            <w:r>
              <w:rPr>
                <w:rFonts w:ascii="Cambria" w:hAnsi="Cambria"/>
              </w:rPr>
              <w:t xml:space="preserve">Ocenjujemo, da je tovrstna rešitev neustrezna predvsem iz vidika nadzora. Na območju Istrskih občin imamo več kot 2.000 nastanitvenih obratov RNO, ki bi lahko izvedli nadzor glede popolnosti in pravilnosti podatkov (dodatno še po drugi </w:t>
            </w:r>
            <w:r>
              <w:rPr>
                <w:rFonts w:ascii="Cambria" w:hAnsi="Cambria"/>
              </w:rPr>
              <w:lastRenderedPageBreak/>
              <w:t>zakonodaji). Glede na navedeno število, preverjanje podatkov po že izvedenem vnosu, ocenjujemo, da bo zelo dolgotrajno in določeni meri neučinkovito.</w:t>
            </w:r>
          </w:p>
          <w:p w14:paraId="328E9E06" w14:textId="77777777" w:rsidR="00870EA0" w:rsidRPr="00E5770E" w:rsidRDefault="00870EA0" w:rsidP="00870EA0">
            <w:pPr>
              <w:snapToGrid w:val="0"/>
              <w:spacing w:after="0"/>
              <w:rPr>
                <w:rFonts w:ascii="Tahoma" w:eastAsia="Times New Roman" w:hAnsi="Tahoma" w:cs="Tahoma"/>
                <w:color w:val="000000"/>
                <w:sz w:val="20"/>
                <w:szCs w:val="20"/>
                <w:lang w:val="sl-SI"/>
              </w:rPr>
            </w:pPr>
          </w:p>
        </w:tc>
      </w:tr>
      <w:tr w:rsidR="00BC1C6C" w:rsidRPr="00E5770E" w14:paraId="08AA0CC4" w14:textId="77777777" w:rsidTr="00870EA0">
        <w:trPr>
          <w:trHeight w:val="436"/>
        </w:trPr>
        <w:tc>
          <w:tcPr>
            <w:tcW w:w="1008" w:type="dxa"/>
            <w:shd w:val="clear" w:color="auto" w:fill="auto"/>
          </w:tcPr>
          <w:p w14:paraId="2186B6E1" w14:textId="154055A6" w:rsidR="00BC1C6C" w:rsidRDefault="00BC1C6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lastRenderedPageBreak/>
              <w:t>11</w:t>
            </w:r>
          </w:p>
        </w:tc>
        <w:tc>
          <w:tcPr>
            <w:tcW w:w="6501" w:type="dxa"/>
            <w:shd w:val="clear" w:color="auto" w:fill="auto"/>
          </w:tcPr>
          <w:p w14:paraId="6DF516CB" w14:textId="77777777" w:rsidR="00BC1C6C" w:rsidRDefault="00BC1C6C" w:rsidP="00BC1C6C">
            <w:pPr>
              <w:pStyle w:val="Odstavekseznama"/>
              <w:rPr>
                <w:rFonts w:ascii="Cambria" w:hAnsi="Cambria"/>
              </w:rPr>
            </w:pPr>
            <w:r>
              <w:rPr>
                <w:rFonts w:ascii="Cambria" w:hAnsi="Cambria"/>
              </w:rPr>
              <w:t>(9.člen)</w:t>
            </w:r>
          </w:p>
          <w:p w14:paraId="48228F95" w14:textId="736B1442" w:rsidR="00BC1C6C" w:rsidRDefault="00BC1C6C" w:rsidP="00BC1C6C">
            <w:pPr>
              <w:pStyle w:val="Odstavekseznama"/>
              <w:rPr>
                <w:rFonts w:ascii="Cambria" w:hAnsi="Cambria"/>
              </w:rPr>
            </w:pPr>
            <w:r>
              <w:rPr>
                <w:rFonts w:ascii="Cambria" w:hAnsi="Cambria"/>
              </w:rPr>
              <w:t>Postavlja se vprašanje kako je z obrati za mehansko glasbo, ki jih obstoječi predpisi opredeljujejo</w:t>
            </w:r>
          </w:p>
        </w:tc>
        <w:tc>
          <w:tcPr>
            <w:tcW w:w="5649" w:type="dxa"/>
            <w:shd w:val="clear" w:color="auto" w:fill="auto"/>
          </w:tcPr>
          <w:p w14:paraId="70EB29A8" w14:textId="46ABFA97" w:rsidR="00BC1C6C" w:rsidRDefault="00BC1C6C" w:rsidP="004F48AB">
            <w:pPr>
              <w:pStyle w:val="Odstavekseznama"/>
              <w:rPr>
                <w:rFonts w:ascii="Cambria" w:hAnsi="Cambria"/>
              </w:rPr>
            </w:pPr>
            <w:r>
              <w:rPr>
                <w:rFonts w:ascii="Cambria" w:hAnsi="Cambria"/>
              </w:rPr>
              <w:t>V kolikor se bodo opredelili je potrebno določiti jasne pogoje glede samega hrupa in nadzora vezano na to.</w:t>
            </w:r>
          </w:p>
        </w:tc>
      </w:tr>
      <w:tr w:rsidR="00BC1C6C" w:rsidRPr="00E5770E" w14:paraId="61770FFD" w14:textId="77777777" w:rsidTr="00870EA0">
        <w:trPr>
          <w:trHeight w:val="436"/>
        </w:trPr>
        <w:tc>
          <w:tcPr>
            <w:tcW w:w="1008" w:type="dxa"/>
            <w:shd w:val="clear" w:color="auto" w:fill="auto"/>
          </w:tcPr>
          <w:p w14:paraId="48C44BE4" w14:textId="35FF577E" w:rsidR="00BC1C6C" w:rsidRDefault="00BC1C6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12</w:t>
            </w:r>
          </w:p>
        </w:tc>
        <w:tc>
          <w:tcPr>
            <w:tcW w:w="6501" w:type="dxa"/>
            <w:shd w:val="clear" w:color="auto" w:fill="auto"/>
          </w:tcPr>
          <w:p w14:paraId="3B6116B1" w14:textId="77777777" w:rsidR="00BC1C6C" w:rsidRDefault="00BC1C6C" w:rsidP="00BC1C6C">
            <w:pPr>
              <w:pStyle w:val="Odstavekseznama"/>
              <w:rPr>
                <w:rFonts w:ascii="Cambria" w:hAnsi="Cambria"/>
              </w:rPr>
            </w:pPr>
            <w:r>
              <w:rPr>
                <w:rFonts w:ascii="Cambria" w:hAnsi="Cambria"/>
              </w:rPr>
              <w:t>(13.člen)</w:t>
            </w:r>
          </w:p>
          <w:p w14:paraId="2DA054E7" w14:textId="7B693B66" w:rsidR="00BC1C6C" w:rsidRDefault="00BC1C6C" w:rsidP="00BC1C6C">
            <w:pPr>
              <w:pStyle w:val="Odstavekseznama"/>
              <w:rPr>
                <w:rFonts w:ascii="Cambria" w:hAnsi="Cambria"/>
              </w:rPr>
            </w:pPr>
            <w:r>
              <w:rPr>
                <w:rFonts w:ascii="Cambria" w:hAnsi="Cambria"/>
              </w:rPr>
              <w:t>Predlaga se opredelitev ali pod to skupino sodijo tudi kavni avtomati oz. avtomati za pijačo</w:t>
            </w:r>
          </w:p>
        </w:tc>
        <w:tc>
          <w:tcPr>
            <w:tcW w:w="5649" w:type="dxa"/>
            <w:shd w:val="clear" w:color="auto" w:fill="auto"/>
          </w:tcPr>
          <w:p w14:paraId="7AE5EB0B" w14:textId="77777777" w:rsidR="00BC1C6C" w:rsidRDefault="00BC1C6C" w:rsidP="004F48AB">
            <w:pPr>
              <w:pStyle w:val="Odstavekseznama"/>
              <w:rPr>
                <w:rFonts w:ascii="Cambria" w:hAnsi="Cambria"/>
              </w:rPr>
            </w:pPr>
          </w:p>
        </w:tc>
      </w:tr>
      <w:tr w:rsidR="00BC1C6C" w:rsidRPr="00E5770E" w14:paraId="0BB45CAD" w14:textId="77777777" w:rsidTr="00870EA0">
        <w:trPr>
          <w:trHeight w:val="436"/>
        </w:trPr>
        <w:tc>
          <w:tcPr>
            <w:tcW w:w="1008" w:type="dxa"/>
            <w:shd w:val="clear" w:color="auto" w:fill="auto"/>
          </w:tcPr>
          <w:p w14:paraId="5B3C87AC" w14:textId="435E8258" w:rsidR="00BC1C6C" w:rsidRDefault="00BC1C6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13</w:t>
            </w:r>
          </w:p>
        </w:tc>
        <w:tc>
          <w:tcPr>
            <w:tcW w:w="6501" w:type="dxa"/>
            <w:shd w:val="clear" w:color="auto" w:fill="auto"/>
          </w:tcPr>
          <w:p w14:paraId="0E463195" w14:textId="29B83291" w:rsidR="00BC1C6C" w:rsidRDefault="00D166B5" w:rsidP="00BC1C6C">
            <w:pPr>
              <w:pStyle w:val="Odstavekseznama"/>
              <w:rPr>
                <w:rFonts w:ascii="Cambria" w:hAnsi="Cambria"/>
              </w:rPr>
            </w:pPr>
            <w:r>
              <w:rPr>
                <w:rFonts w:ascii="Cambria" w:hAnsi="Cambria"/>
              </w:rPr>
              <w:t>(14.člen-</w:t>
            </w:r>
            <w:r w:rsidR="00BC1C6C">
              <w:rPr>
                <w:rFonts w:ascii="Cambria" w:hAnsi="Cambria"/>
              </w:rPr>
              <w:t>odstavek 5)</w:t>
            </w:r>
          </w:p>
          <w:p w14:paraId="3C2DB31E" w14:textId="72B6350E" w:rsidR="00BC1C6C" w:rsidRDefault="00D166B5" w:rsidP="004A43B1">
            <w:pPr>
              <w:pStyle w:val="Odstavekseznama"/>
              <w:rPr>
                <w:rFonts w:ascii="Cambria" w:hAnsi="Cambria"/>
              </w:rPr>
            </w:pPr>
            <w:r>
              <w:rPr>
                <w:rFonts w:ascii="Cambria" w:hAnsi="Cambria"/>
              </w:rPr>
              <w:t xml:space="preserve">Predlaga se  opredelitev da se nastanitvena dejavnost opravlja tudi v marinah bolj jasno opredeli </w:t>
            </w:r>
          </w:p>
        </w:tc>
        <w:tc>
          <w:tcPr>
            <w:tcW w:w="5649" w:type="dxa"/>
            <w:shd w:val="clear" w:color="auto" w:fill="auto"/>
          </w:tcPr>
          <w:p w14:paraId="403D5360" w14:textId="4FFF2FAC" w:rsidR="00BC1C6C" w:rsidRDefault="004A43B1" w:rsidP="004F48AB">
            <w:pPr>
              <w:pStyle w:val="Odstavekseznama"/>
              <w:rPr>
                <w:rFonts w:ascii="Cambria" w:hAnsi="Cambria"/>
              </w:rPr>
            </w:pPr>
            <w:r>
              <w:rPr>
                <w:rFonts w:ascii="Cambria" w:hAnsi="Cambria"/>
              </w:rPr>
              <w:t xml:space="preserve">Nejasno je v katerih obratih se izvaja v marinah ta dejavnost (na plovilih, v drugih nastanitvenih objektih : sobe , </w:t>
            </w:r>
            <w:proofErr w:type="spellStart"/>
            <w:r>
              <w:rPr>
                <w:rFonts w:ascii="Cambria" w:hAnsi="Cambria"/>
              </w:rPr>
              <w:t>apartmani</w:t>
            </w:r>
            <w:proofErr w:type="spellEnd"/>
            <w:r>
              <w:rPr>
                <w:rFonts w:ascii="Cambria" w:hAnsi="Cambria"/>
              </w:rPr>
              <w:t>,…)</w:t>
            </w:r>
          </w:p>
        </w:tc>
      </w:tr>
      <w:tr w:rsidR="00D166B5" w:rsidRPr="00E5770E" w14:paraId="4EE5EF72" w14:textId="77777777" w:rsidTr="00870EA0">
        <w:trPr>
          <w:trHeight w:val="436"/>
        </w:trPr>
        <w:tc>
          <w:tcPr>
            <w:tcW w:w="1008" w:type="dxa"/>
            <w:shd w:val="clear" w:color="auto" w:fill="auto"/>
          </w:tcPr>
          <w:p w14:paraId="5161FB6E" w14:textId="6CDBF8BB" w:rsidR="00D166B5" w:rsidRDefault="00D166B5"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14</w:t>
            </w:r>
          </w:p>
        </w:tc>
        <w:tc>
          <w:tcPr>
            <w:tcW w:w="6501" w:type="dxa"/>
            <w:shd w:val="clear" w:color="auto" w:fill="auto"/>
          </w:tcPr>
          <w:p w14:paraId="46671446" w14:textId="77777777" w:rsidR="00D166B5" w:rsidRDefault="00D166B5" w:rsidP="00BC1C6C">
            <w:pPr>
              <w:pStyle w:val="Odstavekseznama"/>
              <w:rPr>
                <w:rFonts w:ascii="Cambria" w:hAnsi="Cambria"/>
              </w:rPr>
            </w:pPr>
            <w:r>
              <w:rPr>
                <w:rFonts w:ascii="Cambria" w:hAnsi="Cambria"/>
              </w:rPr>
              <w:t>(19.člen)</w:t>
            </w:r>
          </w:p>
          <w:p w14:paraId="36F790B7" w14:textId="38AD17E1" w:rsidR="00D166B5" w:rsidRDefault="00D166B5" w:rsidP="00BC1C6C">
            <w:pPr>
              <w:pStyle w:val="Odstavekseznama"/>
              <w:rPr>
                <w:rFonts w:ascii="Cambria" w:hAnsi="Cambria"/>
              </w:rPr>
            </w:pPr>
            <w:r>
              <w:rPr>
                <w:rFonts w:ascii="Cambria" w:hAnsi="Cambria"/>
              </w:rPr>
              <w:t>Predlagamo, da se v samem zakonu bolj jasno definira kaj vse se lahko ureja v splošnem aktu občine</w:t>
            </w:r>
          </w:p>
        </w:tc>
        <w:tc>
          <w:tcPr>
            <w:tcW w:w="5649" w:type="dxa"/>
            <w:shd w:val="clear" w:color="auto" w:fill="auto"/>
          </w:tcPr>
          <w:p w14:paraId="52778995" w14:textId="77777777" w:rsidR="00D166B5" w:rsidRDefault="00D166B5" w:rsidP="004F48AB">
            <w:pPr>
              <w:pStyle w:val="Odstavekseznama"/>
              <w:rPr>
                <w:rFonts w:ascii="Cambria" w:hAnsi="Cambria"/>
              </w:rPr>
            </w:pPr>
          </w:p>
        </w:tc>
      </w:tr>
      <w:tr w:rsidR="00396A5C" w:rsidRPr="00E5770E" w14:paraId="0247F620" w14:textId="77777777" w:rsidTr="00870EA0">
        <w:trPr>
          <w:trHeight w:val="436"/>
        </w:trPr>
        <w:tc>
          <w:tcPr>
            <w:tcW w:w="1008" w:type="dxa"/>
            <w:shd w:val="clear" w:color="auto" w:fill="auto"/>
          </w:tcPr>
          <w:p w14:paraId="3B935447" w14:textId="7DF3E529" w:rsidR="00396A5C" w:rsidRDefault="00396A5C"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t>15</w:t>
            </w:r>
          </w:p>
        </w:tc>
        <w:tc>
          <w:tcPr>
            <w:tcW w:w="6501" w:type="dxa"/>
            <w:shd w:val="clear" w:color="auto" w:fill="auto"/>
          </w:tcPr>
          <w:p w14:paraId="4F3B61B0" w14:textId="77777777" w:rsidR="00396A5C" w:rsidRDefault="00396A5C" w:rsidP="00BC1C6C">
            <w:pPr>
              <w:pStyle w:val="Odstavekseznama"/>
              <w:rPr>
                <w:rFonts w:ascii="Cambria" w:hAnsi="Cambria"/>
              </w:rPr>
            </w:pPr>
            <w:r>
              <w:rPr>
                <w:rFonts w:ascii="Cambria" w:hAnsi="Cambria"/>
              </w:rPr>
              <w:t>(19.člen- odstavek 9)</w:t>
            </w:r>
          </w:p>
          <w:p w14:paraId="1E14EC5B" w14:textId="1C1CB7A9" w:rsidR="00396A5C" w:rsidRDefault="00396A5C" w:rsidP="00BC1C6C">
            <w:pPr>
              <w:pStyle w:val="Odstavekseznama"/>
              <w:rPr>
                <w:rFonts w:ascii="Cambria" w:hAnsi="Cambria"/>
              </w:rPr>
            </w:pPr>
            <w:r>
              <w:rPr>
                <w:rFonts w:ascii="Cambria" w:hAnsi="Cambria"/>
              </w:rPr>
              <w:t>Nejasna opredelitev kaj pomeni drug dokument, da gre za stanovanje (kaj je lahko poleg uporabnega dovoljenja še drug dokument)</w:t>
            </w:r>
          </w:p>
        </w:tc>
        <w:tc>
          <w:tcPr>
            <w:tcW w:w="5649" w:type="dxa"/>
            <w:shd w:val="clear" w:color="auto" w:fill="auto"/>
          </w:tcPr>
          <w:p w14:paraId="23BC1A41" w14:textId="44CF310B" w:rsidR="00396A5C" w:rsidRDefault="00396A5C" w:rsidP="004F48AB">
            <w:pPr>
              <w:pStyle w:val="Odstavekseznama"/>
              <w:rPr>
                <w:rFonts w:ascii="Cambria" w:hAnsi="Cambria"/>
              </w:rPr>
            </w:pPr>
            <w:r>
              <w:rPr>
                <w:rFonts w:ascii="Cambria" w:hAnsi="Cambria"/>
              </w:rPr>
              <w:t xml:space="preserve">V praksi bo lahko nastopal problem, da bo iz uporabnega razvidno da gre za 1 stanovanje, v praksi pa bo šlo za večstanovanjski objekt </w:t>
            </w:r>
          </w:p>
        </w:tc>
      </w:tr>
      <w:tr w:rsidR="004A43B1" w:rsidRPr="00E5770E" w14:paraId="4610612E" w14:textId="77777777" w:rsidTr="00870EA0">
        <w:trPr>
          <w:trHeight w:val="436"/>
        </w:trPr>
        <w:tc>
          <w:tcPr>
            <w:tcW w:w="1008" w:type="dxa"/>
            <w:shd w:val="clear" w:color="auto" w:fill="auto"/>
          </w:tcPr>
          <w:p w14:paraId="3C9270AF" w14:textId="562C8DB0" w:rsidR="004A43B1" w:rsidRDefault="004A43B1" w:rsidP="00870EA0">
            <w:pPr>
              <w:snapToGrid w:val="0"/>
              <w:spacing w:after="0"/>
              <w:rPr>
                <w:rFonts w:ascii="Tahoma" w:eastAsia="Times New Roman" w:hAnsi="Tahoma" w:cs="Tahoma"/>
                <w:color w:val="000000"/>
                <w:sz w:val="20"/>
                <w:szCs w:val="20"/>
                <w:lang w:val="sl-SI"/>
              </w:rPr>
            </w:pPr>
            <w:r>
              <w:rPr>
                <w:rFonts w:ascii="Tahoma" w:eastAsia="Times New Roman" w:hAnsi="Tahoma" w:cs="Tahoma"/>
                <w:color w:val="000000"/>
                <w:sz w:val="20"/>
                <w:szCs w:val="20"/>
                <w:lang w:val="sl-SI"/>
              </w:rPr>
              <w:lastRenderedPageBreak/>
              <w:t>16</w:t>
            </w:r>
          </w:p>
        </w:tc>
        <w:tc>
          <w:tcPr>
            <w:tcW w:w="6501" w:type="dxa"/>
            <w:shd w:val="clear" w:color="auto" w:fill="auto"/>
          </w:tcPr>
          <w:p w14:paraId="58F9C1FD" w14:textId="5B3BA8AA" w:rsidR="004A43B1" w:rsidRDefault="004A43B1" w:rsidP="00BC1C6C">
            <w:pPr>
              <w:pStyle w:val="Odstavekseznama"/>
              <w:rPr>
                <w:rFonts w:ascii="Cambria" w:hAnsi="Cambria"/>
              </w:rPr>
            </w:pPr>
            <w:r>
              <w:rPr>
                <w:rFonts w:ascii="Cambria" w:hAnsi="Cambria"/>
              </w:rPr>
              <w:t>Problem nezmožnosti nadzora v stanovanjih, saj ni dopusten vstop , pa čeprav se izvaja poslovna dejavnost</w:t>
            </w:r>
          </w:p>
        </w:tc>
        <w:tc>
          <w:tcPr>
            <w:tcW w:w="5649" w:type="dxa"/>
            <w:shd w:val="clear" w:color="auto" w:fill="auto"/>
          </w:tcPr>
          <w:p w14:paraId="0093EDA4" w14:textId="70187098" w:rsidR="004A43B1" w:rsidRDefault="004A43B1" w:rsidP="004A43B1">
            <w:pPr>
              <w:pStyle w:val="Odstavekseznama"/>
              <w:rPr>
                <w:rFonts w:ascii="Cambria" w:hAnsi="Cambria"/>
              </w:rPr>
            </w:pPr>
            <w:r>
              <w:rPr>
                <w:rFonts w:ascii="Cambria" w:hAnsi="Cambria"/>
              </w:rPr>
              <w:t>Dejstvo je, da so stanovanja, v katerih se nudi nastanitvena storitve v privilegiranem položaju napram poslovnim objektom, kjer te omejitve ni.</w:t>
            </w:r>
          </w:p>
        </w:tc>
      </w:tr>
    </w:tbl>
    <w:p w14:paraId="35C43483" w14:textId="467ECCF4" w:rsidR="00263B5B" w:rsidRPr="00E5770E" w:rsidRDefault="00263B5B">
      <w:pPr>
        <w:rPr>
          <w:rFonts w:ascii="Tahoma" w:hAnsi="Tahoma" w:cs="Tahoma"/>
        </w:rPr>
      </w:pPr>
    </w:p>
    <w:sectPr w:rsidR="00263B5B" w:rsidRPr="00E5770E">
      <w:headerReference w:type="default" r:id="rId8"/>
      <w:pgSz w:w="15840" w:h="12240"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179EB" w14:textId="77777777" w:rsidR="008521F7" w:rsidRDefault="008521F7" w:rsidP="00B72F50">
      <w:pPr>
        <w:spacing w:after="0" w:line="240" w:lineRule="auto"/>
      </w:pPr>
      <w:r>
        <w:separator/>
      </w:r>
    </w:p>
  </w:endnote>
  <w:endnote w:type="continuationSeparator" w:id="0">
    <w:p w14:paraId="6AA47EEB" w14:textId="77777777" w:rsidR="008521F7" w:rsidRDefault="008521F7" w:rsidP="00B7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807F8" w14:textId="77777777" w:rsidR="008521F7" w:rsidRDefault="008521F7" w:rsidP="00B72F50">
      <w:pPr>
        <w:spacing w:after="0" w:line="240" w:lineRule="auto"/>
      </w:pPr>
      <w:r>
        <w:separator/>
      </w:r>
    </w:p>
  </w:footnote>
  <w:footnote w:type="continuationSeparator" w:id="0">
    <w:p w14:paraId="11F53A8A" w14:textId="77777777" w:rsidR="008521F7" w:rsidRDefault="008521F7" w:rsidP="00B7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3F7F8" w14:textId="77777777" w:rsidR="00B72F50" w:rsidRDefault="00B72F50" w:rsidP="00B72F50">
    <w:pPr>
      <w:pStyle w:val="Glava"/>
      <w:jc w:val="right"/>
    </w:pPr>
    <w:r w:rsidRPr="001878DE">
      <w:rPr>
        <w:noProof/>
        <w:lang w:val="sl-SI" w:eastAsia="sl-SI"/>
      </w:rPr>
      <w:drawing>
        <wp:inline distT="0" distB="0" distL="0" distR="0" wp14:anchorId="230CDA5D" wp14:editId="3F21DE1A">
          <wp:extent cx="3710940" cy="1516380"/>
          <wp:effectExtent l="0" t="0" r="381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1516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A06F5"/>
    <w:multiLevelType w:val="hybridMultilevel"/>
    <w:tmpl w:val="B6A0B652"/>
    <w:lvl w:ilvl="0" w:tplc="4E348EBE">
      <w:numFmt w:val="bullet"/>
      <w:lvlText w:val="-"/>
      <w:lvlJc w:val="left"/>
      <w:pPr>
        <w:ind w:left="720" w:hanging="360"/>
      </w:pPr>
      <w:rPr>
        <w:rFonts w:ascii="Cambria" w:eastAsiaTheme="minorHAnsi" w:hAnsi="Cambri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41272338">
    <w:abstractNumId w:val="1"/>
  </w:num>
  <w:num w:numId="2" w16cid:durableId="104379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C9"/>
    <w:rsid w:val="00001AC3"/>
    <w:rsid w:val="00003F3D"/>
    <w:rsid w:val="000110A7"/>
    <w:rsid w:val="00022299"/>
    <w:rsid w:val="0005653E"/>
    <w:rsid w:val="00060172"/>
    <w:rsid w:val="0007347A"/>
    <w:rsid w:val="00096CAF"/>
    <w:rsid w:val="00097E93"/>
    <w:rsid w:val="000B133F"/>
    <w:rsid w:val="000D1480"/>
    <w:rsid w:val="000D3886"/>
    <w:rsid w:val="000D4452"/>
    <w:rsid w:val="000E4330"/>
    <w:rsid w:val="000E47B0"/>
    <w:rsid w:val="001137C5"/>
    <w:rsid w:val="00117557"/>
    <w:rsid w:val="00123EDB"/>
    <w:rsid w:val="00151661"/>
    <w:rsid w:val="00180725"/>
    <w:rsid w:val="0018601C"/>
    <w:rsid w:val="001D0B9A"/>
    <w:rsid w:val="001D0E4F"/>
    <w:rsid w:val="001D17C0"/>
    <w:rsid w:val="001D6D90"/>
    <w:rsid w:val="001E1FC9"/>
    <w:rsid w:val="001E3AE5"/>
    <w:rsid w:val="00211632"/>
    <w:rsid w:val="00215D13"/>
    <w:rsid w:val="00223439"/>
    <w:rsid w:val="0023067B"/>
    <w:rsid w:val="00237182"/>
    <w:rsid w:val="00263A9D"/>
    <w:rsid w:val="00263B5B"/>
    <w:rsid w:val="002969E7"/>
    <w:rsid w:val="002B4C76"/>
    <w:rsid w:val="002D242B"/>
    <w:rsid w:val="002D38EF"/>
    <w:rsid w:val="002E02C4"/>
    <w:rsid w:val="00322062"/>
    <w:rsid w:val="0034523D"/>
    <w:rsid w:val="003646EA"/>
    <w:rsid w:val="00364A1E"/>
    <w:rsid w:val="00372C70"/>
    <w:rsid w:val="00373B2B"/>
    <w:rsid w:val="003820F3"/>
    <w:rsid w:val="00391890"/>
    <w:rsid w:val="00396A5C"/>
    <w:rsid w:val="003D7113"/>
    <w:rsid w:val="003F1153"/>
    <w:rsid w:val="004037DF"/>
    <w:rsid w:val="004045DF"/>
    <w:rsid w:val="0041584E"/>
    <w:rsid w:val="00427FCB"/>
    <w:rsid w:val="004315D2"/>
    <w:rsid w:val="00433AC1"/>
    <w:rsid w:val="00440311"/>
    <w:rsid w:val="00447088"/>
    <w:rsid w:val="004553B1"/>
    <w:rsid w:val="0046075D"/>
    <w:rsid w:val="00464D4D"/>
    <w:rsid w:val="004A2C9F"/>
    <w:rsid w:val="004A43B1"/>
    <w:rsid w:val="004B75FF"/>
    <w:rsid w:val="004D1A2F"/>
    <w:rsid w:val="004D5AC0"/>
    <w:rsid w:val="004D7921"/>
    <w:rsid w:val="004F3AD2"/>
    <w:rsid w:val="004F48AB"/>
    <w:rsid w:val="00501693"/>
    <w:rsid w:val="00534421"/>
    <w:rsid w:val="005377E2"/>
    <w:rsid w:val="00571CB0"/>
    <w:rsid w:val="00590723"/>
    <w:rsid w:val="005B2811"/>
    <w:rsid w:val="005C242A"/>
    <w:rsid w:val="005C5728"/>
    <w:rsid w:val="005D162A"/>
    <w:rsid w:val="0061043C"/>
    <w:rsid w:val="00634780"/>
    <w:rsid w:val="006552B1"/>
    <w:rsid w:val="0067244B"/>
    <w:rsid w:val="00672A39"/>
    <w:rsid w:val="006A7500"/>
    <w:rsid w:val="006C2E89"/>
    <w:rsid w:val="006F059D"/>
    <w:rsid w:val="006F4947"/>
    <w:rsid w:val="007134AA"/>
    <w:rsid w:val="0072176D"/>
    <w:rsid w:val="007257F7"/>
    <w:rsid w:val="007303F8"/>
    <w:rsid w:val="00734B22"/>
    <w:rsid w:val="0074053C"/>
    <w:rsid w:val="00746F45"/>
    <w:rsid w:val="00785219"/>
    <w:rsid w:val="00786C38"/>
    <w:rsid w:val="00795B79"/>
    <w:rsid w:val="007976D7"/>
    <w:rsid w:val="007C488A"/>
    <w:rsid w:val="007D4420"/>
    <w:rsid w:val="007E5A8B"/>
    <w:rsid w:val="007F2022"/>
    <w:rsid w:val="007F2FD1"/>
    <w:rsid w:val="008260DF"/>
    <w:rsid w:val="008421E7"/>
    <w:rsid w:val="00844EA2"/>
    <w:rsid w:val="008521F7"/>
    <w:rsid w:val="008531BB"/>
    <w:rsid w:val="0086311B"/>
    <w:rsid w:val="00863E68"/>
    <w:rsid w:val="00870EA0"/>
    <w:rsid w:val="00876C82"/>
    <w:rsid w:val="008C2B64"/>
    <w:rsid w:val="008C5F65"/>
    <w:rsid w:val="008F4B1F"/>
    <w:rsid w:val="0092264A"/>
    <w:rsid w:val="00924F21"/>
    <w:rsid w:val="009574ED"/>
    <w:rsid w:val="00964983"/>
    <w:rsid w:val="00966BDE"/>
    <w:rsid w:val="009679EA"/>
    <w:rsid w:val="00976CDB"/>
    <w:rsid w:val="00977071"/>
    <w:rsid w:val="00982895"/>
    <w:rsid w:val="00982C99"/>
    <w:rsid w:val="009A142E"/>
    <w:rsid w:val="009B28AD"/>
    <w:rsid w:val="009C0C81"/>
    <w:rsid w:val="009C6716"/>
    <w:rsid w:val="009F7C27"/>
    <w:rsid w:val="00A03D13"/>
    <w:rsid w:val="00A102CE"/>
    <w:rsid w:val="00A137CA"/>
    <w:rsid w:val="00A14EF8"/>
    <w:rsid w:val="00A16B15"/>
    <w:rsid w:val="00A47E06"/>
    <w:rsid w:val="00A50F00"/>
    <w:rsid w:val="00A80031"/>
    <w:rsid w:val="00A81730"/>
    <w:rsid w:val="00A82F5B"/>
    <w:rsid w:val="00A9434E"/>
    <w:rsid w:val="00AA0481"/>
    <w:rsid w:val="00AC1786"/>
    <w:rsid w:val="00AC51E7"/>
    <w:rsid w:val="00AE1A9F"/>
    <w:rsid w:val="00AE30AA"/>
    <w:rsid w:val="00AE7B6C"/>
    <w:rsid w:val="00B02FC7"/>
    <w:rsid w:val="00B10EA9"/>
    <w:rsid w:val="00B378A5"/>
    <w:rsid w:val="00B4544F"/>
    <w:rsid w:val="00B46699"/>
    <w:rsid w:val="00B72F50"/>
    <w:rsid w:val="00B757E8"/>
    <w:rsid w:val="00BA60ED"/>
    <w:rsid w:val="00BB2FEF"/>
    <w:rsid w:val="00BB7358"/>
    <w:rsid w:val="00BC1C6C"/>
    <w:rsid w:val="00BC2357"/>
    <w:rsid w:val="00BC7EDC"/>
    <w:rsid w:val="00BD0C98"/>
    <w:rsid w:val="00BE0201"/>
    <w:rsid w:val="00BE16C9"/>
    <w:rsid w:val="00BE403C"/>
    <w:rsid w:val="00BE49F2"/>
    <w:rsid w:val="00BE4E16"/>
    <w:rsid w:val="00C12859"/>
    <w:rsid w:val="00C15631"/>
    <w:rsid w:val="00C21D32"/>
    <w:rsid w:val="00C24770"/>
    <w:rsid w:val="00C4432B"/>
    <w:rsid w:val="00C47D14"/>
    <w:rsid w:val="00C502A6"/>
    <w:rsid w:val="00C51B2C"/>
    <w:rsid w:val="00C51F79"/>
    <w:rsid w:val="00C556B9"/>
    <w:rsid w:val="00C6191E"/>
    <w:rsid w:val="00C66C02"/>
    <w:rsid w:val="00C716E4"/>
    <w:rsid w:val="00C9097A"/>
    <w:rsid w:val="00C95381"/>
    <w:rsid w:val="00CC5466"/>
    <w:rsid w:val="00CC64A8"/>
    <w:rsid w:val="00CC7F72"/>
    <w:rsid w:val="00CF5DD7"/>
    <w:rsid w:val="00CF7D6A"/>
    <w:rsid w:val="00D166B5"/>
    <w:rsid w:val="00D52054"/>
    <w:rsid w:val="00D5540C"/>
    <w:rsid w:val="00D56640"/>
    <w:rsid w:val="00D67929"/>
    <w:rsid w:val="00D704BE"/>
    <w:rsid w:val="00D7320C"/>
    <w:rsid w:val="00D77505"/>
    <w:rsid w:val="00DB2750"/>
    <w:rsid w:val="00DC1D8E"/>
    <w:rsid w:val="00DD3BF7"/>
    <w:rsid w:val="00DF5429"/>
    <w:rsid w:val="00E21347"/>
    <w:rsid w:val="00E278AD"/>
    <w:rsid w:val="00E47169"/>
    <w:rsid w:val="00E5770E"/>
    <w:rsid w:val="00E83ADB"/>
    <w:rsid w:val="00E93C3C"/>
    <w:rsid w:val="00EA5E26"/>
    <w:rsid w:val="00EB0781"/>
    <w:rsid w:val="00EC49BD"/>
    <w:rsid w:val="00EC77B4"/>
    <w:rsid w:val="00EF7CFC"/>
    <w:rsid w:val="00F365F8"/>
    <w:rsid w:val="00F36FCA"/>
    <w:rsid w:val="00F402F0"/>
    <w:rsid w:val="00F61931"/>
    <w:rsid w:val="00F63DE4"/>
    <w:rsid w:val="00F64686"/>
    <w:rsid w:val="00F87CD3"/>
    <w:rsid w:val="00F93A60"/>
    <w:rsid w:val="00FE7B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494494"/>
  <w15:chartTrackingRefBased/>
  <w15:docId w15:val="{17C0E4EA-55C0-40BF-95A3-F9E8FAAB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200" w:line="276" w:lineRule="auto"/>
    </w:pPr>
    <w:rPr>
      <w:rFonts w:ascii="Calibri" w:eastAsia="Calibri" w:hAnsi="Calibri"/>
      <w:sz w:val="22"/>
      <w:szCs w:val="22"/>
      <w:lang w:val="en-US" w:eastAsia="ar-SA"/>
    </w:rPr>
  </w:style>
  <w:style w:type="paragraph" w:styleId="Naslov1">
    <w:name w:val="heading 1"/>
    <w:basedOn w:val="Navaden"/>
    <w:link w:val="Naslov1Znak"/>
    <w:uiPriority w:val="9"/>
    <w:qFormat/>
    <w:rsid w:val="00863E68"/>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Heading">
    <w:name w:val="Heading"/>
    <w:basedOn w:val="Navaden"/>
    <w:next w:val="Telobesedila"/>
    <w:pPr>
      <w:keepNext/>
      <w:spacing w:before="240" w:after="120"/>
    </w:pPr>
    <w:rPr>
      <w:rFonts w:ascii="Arial" w:eastAsia="Arial Unicode MS" w:hAnsi="Arial"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szCs w:val="24"/>
    </w:rPr>
  </w:style>
  <w:style w:type="paragraph" w:customStyle="1" w:styleId="Index">
    <w:name w:val="Index"/>
    <w:basedOn w:val="Navaden"/>
    <w:pPr>
      <w:suppressLineNumbers/>
    </w:p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Glava">
    <w:name w:val="header"/>
    <w:basedOn w:val="Navaden"/>
    <w:link w:val="GlavaZnak"/>
    <w:uiPriority w:val="99"/>
    <w:unhideWhenUsed/>
    <w:rsid w:val="00B72F50"/>
    <w:pPr>
      <w:tabs>
        <w:tab w:val="center" w:pos="4536"/>
        <w:tab w:val="right" w:pos="9072"/>
      </w:tabs>
      <w:spacing w:after="0" w:line="240" w:lineRule="auto"/>
    </w:pPr>
  </w:style>
  <w:style w:type="character" w:customStyle="1" w:styleId="GlavaZnak">
    <w:name w:val="Glava Znak"/>
    <w:basedOn w:val="Privzetapisavaodstavka"/>
    <w:link w:val="Glava"/>
    <w:uiPriority w:val="99"/>
    <w:rsid w:val="00B72F50"/>
    <w:rPr>
      <w:rFonts w:ascii="Calibri" w:eastAsia="Calibri" w:hAnsi="Calibri"/>
      <w:sz w:val="22"/>
      <w:szCs w:val="22"/>
      <w:lang w:val="en-US" w:eastAsia="ar-SA"/>
    </w:rPr>
  </w:style>
  <w:style w:type="paragraph" w:styleId="Noga">
    <w:name w:val="footer"/>
    <w:basedOn w:val="Navaden"/>
    <w:link w:val="NogaZnak"/>
    <w:uiPriority w:val="99"/>
    <w:unhideWhenUsed/>
    <w:rsid w:val="00B72F50"/>
    <w:pPr>
      <w:tabs>
        <w:tab w:val="center" w:pos="4536"/>
        <w:tab w:val="right" w:pos="9072"/>
      </w:tabs>
      <w:spacing w:after="0" w:line="240" w:lineRule="auto"/>
    </w:pPr>
  </w:style>
  <w:style w:type="character" w:customStyle="1" w:styleId="NogaZnak">
    <w:name w:val="Noga Znak"/>
    <w:basedOn w:val="Privzetapisavaodstavka"/>
    <w:link w:val="Noga"/>
    <w:uiPriority w:val="99"/>
    <w:rsid w:val="00B72F50"/>
    <w:rPr>
      <w:rFonts w:ascii="Calibri" w:eastAsia="Calibri" w:hAnsi="Calibri"/>
      <w:sz w:val="22"/>
      <w:szCs w:val="22"/>
      <w:lang w:val="en-US" w:eastAsia="ar-SA"/>
    </w:rPr>
  </w:style>
  <w:style w:type="paragraph" w:customStyle="1" w:styleId="Naslovpredpisa">
    <w:name w:val="Naslov_predpisa"/>
    <w:basedOn w:val="Navaden"/>
    <w:link w:val="NaslovpredpisaZnak"/>
    <w:qFormat/>
    <w:rsid w:val="00391890"/>
    <w:pPr>
      <w:overflowPunct w:val="0"/>
      <w:autoSpaceDE w:val="0"/>
      <w:autoSpaceDN w:val="0"/>
      <w:adjustRightInd w:val="0"/>
      <w:spacing w:after="0" w:line="240" w:lineRule="auto"/>
      <w:jc w:val="center"/>
      <w:textAlignment w:val="baseline"/>
    </w:pPr>
    <w:rPr>
      <w:rFonts w:ascii="Arial" w:eastAsia="Times New Roman" w:hAnsi="Arial" w:cs="Arial"/>
      <w:b/>
      <w:lang w:val="sl-SI" w:eastAsia="sl-SI"/>
    </w:rPr>
  </w:style>
  <w:style w:type="character" w:customStyle="1" w:styleId="NaslovpredpisaZnak">
    <w:name w:val="Naslov_predpisa Znak"/>
    <w:link w:val="Naslovpredpisa"/>
    <w:rsid w:val="00391890"/>
    <w:rPr>
      <w:rFonts w:ascii="Arial" w:hAnsi="Arial" w:cs="Arial"/>
      <w:b/>
      <w:sz w:val="22"/>
      <w:szCs w:val="22"/>
    </w:rPr>
  </w:style>
  <w:style w:type="paragraph" w:customStyle="1" w:styleId="Alineazaodstavkom">
    <w:name w:val="Alinea za odstavkom"/>
    <w:basedOn w:val="Navaden"/>
    <w:qFormat/>
    <w:rsid w:val="00FE7B27"/>
    <w:pPr>
      <w:numPr>
        <w:numId w:val="1"/>
      </w:numPr>
      <w:suppressAutoHyphens w:val="0"/>
      <w:spacing w:after="0" w:line="240" w:lineRule="auto"/>
      <w:jc w:val="both"/>
    </w:pPr>
    <w:rPr>
      <w:rFonts w:ascii="Arial" w:eastAsia="Times New Roman" w:hAnsi="Arial" w:cs="Arial"/>
      <w:lang w:val="sl-SI" w:eastAsia="sl-SI"/>
    </w:rPr>
  </w:style>
  <w:style w:type="paragraph" w:customStyle="1" w:styleId="Alineazatevilnotoko">
    <w:name w:val="Alinea za številčno točko"/>
    <w:basedOn w:val="Alineazaodstavkom"/>
    <w:link w:val="AlineazatevilnotokoZnak"/>
    <w:qFormat/>
    <w:rsid w:val="00FE7B27"/>
    <w:pPr>
      <w:tabs>
        <w:tab w:val="clear" w:pos="425"/>
        <w:tab w:val="left" w:pos="567"/>
      </w:tabs>
      <w:ind w:left="567" w:hanging="142"/>
    </w:pPr>
    <w:rPr>
      <w:rFonts w:cs="Times New Roman"/>
      <w:lang w:val="x-none" w:eastAsia="x-none"/>
    </w:rPr>
  </w:style>
  <w:style w:type="character" w:customStyle="1" w:styleId="AlineazatevilnotokoZnak">
    <w:name w:val="Alinea za številčno točko Znak"/>
    <w:link w:val="Alineazatevilnotoko"/>
    <w:locked/>
    <w:rsid w:val="00FE7B27"/>
    <w:rPr>
      <w:rFonts w:ascii="Arial" w:hAnsi="Arial"/>
      <w:sz w:val="22"/>
      <w:szCs w:val="22"/>
      <w:lang w:val="x-none" w:eastAsia="x-none"/>
    </w:rPr>
  </w:style>
  <w:style w:type="character" w:customStyle="1" w:styleId="Naslov1Znak">
    <w:name w:val="Naslov 1 Znak"/>
    <w:basedOn w:val="Privzetapisavaodstavka"/>
    <w:link w:val="Naslov1"/>
    <w:uiPriority w:val="9"/>
    <w:rsid w:val="00863E68"/>
    <w:rPr>
      <w:b/>
      <w:bCs/>
      <w:kern w:val="36"/>
      <w:sz w:val="48"/>
      <w:szCs w:val="48"/>
    </w:rPr>
  </w:style>
  <w:style w:type="paragraph" w:styleId="Odstavekseznama">
    <w:name w:val="List Paragraph"/>
    <w:basedOn w:val="Navaden"/>
    <w:uiPriority w:val="34"/>
    <w:qFormat/>
    <w:rsid w:val="004F48AB"/>
    <w:pPr>
      <w:suppressAutoHyphens w:val="0"/>
      <w:spacing w:after="160" w:line="259" w:lineRule="auto"/>
      <w:ind w:left="720"/>
      <w:contextualSpacing/>
    </w:pPr>
    <w:rPr>
      <w:rFonts w:asciiTheme="minorHAnsi" w:eastAsiaTheme="minorHAnsi" w:hAnsiTheme="minorHAnsi" w:cstheme="minorBid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038903">
      <w:bodyDiv w:val="1"/>
      <w:marLeft w:val="0"/>
      <w:marRight w:val="0"/>
      <w:marTop w:val="0"/>
      <w:marBottom w:val="0"/>
      <w:divBdr>
        <w:top w:val="none" w:sz="0" w:space="0" w:color="auto"/>
        <w:left w:val="none" w:sz="0" w:space="0" w:color="auto"/>
        <w:bottom w:val="none" w:sz="0" w:space="0" w:color="auto"/>
        <w:right w:val="none" w:sz="0" w:space="0" w:color="auto"/>
      </w:divBdr>
    </w:div>
    <w:div w:id="1884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4B053C-109B-4C7C-9FAF-CCEB6487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EZ-1-C Obrazec za pripombe v okviru javne obravnave</vt:lpstr>
    </vt:vector>
  </TitlesOfParts>
  <Company>MZIP</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EZ-1-C Obrazec za pripombe v okviru javne obravnave</dc:title>
  <dc:subject/>
  <dc:creator>MZI</dc:creator>
  <cp:keywords/>
  <cp:lastModifiedBy>Združenje občin Slovenije ZOS</cp:lastModifiedBy>
  <cp:revision>2</cp:revision>
  <cp:lastPrinted>2014-06-24T08:34:00Z</cp:lastPrinted>
  <dcterms:created xsi:type="dcterms:W3CDTF">2024-06-17T13:11:00Z</dcterms:created>
  <dcterms:modified xsi:type="dcterms:W3CDTF">2024-06-17T13:11:00Z</dcterms:modified>
</cp:coreProperties>
</file>